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71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07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1071B0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1071B0">
              <w:rPr>
                <w:b/>
                <w:szCs w:val="24"/>
              </w:rPr>
              <w:t>Э</w:t>
            </w:r>
            <w:r w:rsidR="001071B0" w:rsidRPr="001071B0">
              <w:rPr>
                <w:b/>
                <w:szCs w:val="24"/>
              </w:rPr>
              <w:t>ксплуатаци</w:t>
            </w:r>
            <w:r w:rsidR="001071B0">
              <w:rPr>
                <w:b/>
                <w:szCs w:val="24"/>
              </w:rPr>
              <w:t>я</w:t>
            </w:r>
            <w:r w:rsidR="001071B0" w:rsidRPr="001071B0">
              <w:rPr>
                <w:b/>
                <w:szCs w:val="24"/>
              </w:rPr>
              <w:t xml:space="preserve"> и техническое обслуживание опасного производственного объекта – Котельная, установленной мощностью 60 МВт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E07E49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E07E49">
              <w:rPr>
                <w:szCs w:val="24"/>
              </w:rPr>
              <w:t>Краснодарский край, г.</w:t>
            </w:r>
            <w:r>
              <w:rPr>
                <w:szCs w:val="24"/>
              </w:rPr>
              <w:t xml:space="preserve"> </w:t>
            </w:r>
            <w:r w:rsidRPr="00E07E49">
              <w:rPr>
                <w:szCs w:val="24"/>
              </w:rPr>
              <w:t xml:space="preserve">Сочи, Адлерский район, с. </w:t>
            </w:r>
            <w:proofErr w:type="spellStart"/>
            <w:r w:rsidRPr="00E07E49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Pr="00E07E49">
              <w:rPr>
                <w:szCs w:val="24"/>
              </w:rPr>
              <w:t xml:space="preserve">садок, всесезонный курорт «Горки Город», ул. Набережная Времена года, </w:t>
            </w:r>
            <w:proofErr w:type="spellStart"/>
            <w:r w:rsidRPr="00E07E49">
              <w:rPr>
                <w:szCs w:val="24"/>
              </w:rPr>
              <w:t>отм</w:t>
            </w:r>
            <w:proofErr w:type="spellEnd"/>
            <w:r w:rsidRPr="00E07E49">
              <w:rPr>
                <w:szCs w:val="24"/>
              </w:rPr>
              <w:t>. +540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10568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240E13" w:rsidRDefault="00C824AF" w:rsidP="00C05F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C05F6C" w:rsidRPr="00C0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 действующей лицензии на эксплуатацию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ФЗ от 4 мая 2011 года №99-ФЗ «О лицензировании отдельных видов деятельности»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 - эксплуатация на объектах оборудования работающего под избыточным давлением более 0,07 МПа: воды при температуре нагрева более 115°С.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подтверждающего документа)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lastRenderedPageBreak/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319A" w:rsidRPr="00CB319A" w:rsidRDefault="00037F0E" w:rsidP="00CB319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="00CB319A" w:rsidRPr="00CB319A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CB319A" w:rsidRPr="00CB319A" w:rsidRDefault="00CB319A" w:rsidP="00CB319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наличие не менее 8 (восьми) сотрудников, имеющих аттестации в области промышленной безопасности по направлениям  Г1, Г2, Б7, Б8;</w:t>
            </w:r>
          </w:p>
          <w:p w:rsidR="00CB319A" w:rsidRPr="00CB319A" w:rsidRDefault="00CB319A" w:rsidP="00CB319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наличие не менее 3 (трех) сотрудников инженерно-технического персонала, обученных по специальности тепловые энергоустановки c действующими квалификационными сертификатами «</w:t>
            </w:r>
            <w:proofErr w:type="spellStart"/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Weishaupt</w:t>
            </w:r>
            <w:proofErr w:type="spellEnd"/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Viessmann</w:t>
            </w:r>
            <w:proofErr w:type="spellEnd"/>
            <w:r w:rsidRPr="00CB319A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CB319A" w:rsidRPr="00CB319A" w:rsidRDefault="00CB319A" w:rsidP="00CB319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наличие инженера по охране труда;</w:t>
            </w:r>
          </w:p>
          <w:p w:rsidR="00CB319A" w:rsidRPr="00CB319A" w:rsidRDefault="00CB319A" w:rsidP="00CB319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наличие инженера-химика;</w:t>
            </w:r>
          </w:p>
          <w:p w:rsidR="00CB319A" w:rsidRPr="00CB319A" w:rsidRDefault="00CB319A" w:rsidP="00CB319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CB319A" w:rsidRPr="00CB319A" w:rsidRDefault="00CB319A" w:rsidP="00CB319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CB319A" w:rsidRPr="00CB319A" w:rsidRDefault="00CB319A" w:rsidP="00CB319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319A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в штате не менее одного сотрудника с группой допуска по электробезопасности не ниже 5-ой (до и выше 1000 В) и не менее двух сотрудников с группой допуска по электробезопасности не ниже 4-ой.</w:t>
            </w:r>
          </w:p>
          <w:p w:rsidR="00FC6DFE" w:rsidRPr="0075620A" w:rsidRDefault="00CB319A" w:rsidP="00CB319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20A">
              <w:rPr>
                <w:rFonts w:ascii="Times New Roman" w:hAnsi="Times New Roman" w:cs="Times New Roman"/>
                <w:i/>
                <w:sz w:val="24"/>
                <w:szCs w:val="24"/>
              </w:rPr>
              <w:t>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24AF2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F2" w:rsidRPr="00104B39" w:rsidRDefault="00324AF2" w:rsidP="00324AF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F2" w:rsidRPr="00104B39" w:rsidRDefault="00324AF2" w:rsidP="00324AF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F2" w:rsidRPr="00104B39" w:rsidRDefault="00324AF2" w:rsidP="00324A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 4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B03784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784">
              <w:rPr>
                <w:rFonts w:ascii="Times New Roman" w:hAnsi="Times New Roman" w:cs="Times New Roman"/>
                <w:b/>
                <w:sz w:val="24"/>
                <w:szCs w:val="24"/>
              </w:rPr>
              <w:t>5 885 000,00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03784">
              <w:rPr>
                <w:rFonts w:ascii="Times New Roman" w:hAnsi="Times New Roman" w:cs="Times New Roman"/>
                <w:sz w:val="24"/>
                <w:szCs w:val="24"/>
              </w:rPr>
              <w:t>ять миллионов восемьсот восемьдесят пять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03784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91FD9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1FD9" w:rsidRPr="00C32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3784">
              <w:rPr>
                <w:rFonts w:ascii="Times New Roman" w:hAnsi="Times New Roman" w:cs="Times New Roman"/>
                <w:b/>
                <w:sz w:val="24"/>
                <w:szCs w:val="24"/>
              </w:rPr>
              <w:t>980 833,33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03784">
              <w:rPr>
                <w:rFonts w:ascii="Times New Roman" w:hAnsi="Times New Roman" w:cs="Times New Roman"/>
                <w:sz w:val="24"/>
                <w:szCs w:val="24"/>
              </w:rPr>
              <w:t>евятьсот восемьдесят тысяч восемьсот тридцать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03784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B03784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7C77" w:rsidRDefault="00123DFF" w:rsidP="00123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23DFF">
              <w:rPr>
                <w:rFonts w:ascii="Times New Roman" w:hAnsi="Times New Roman" w:cs="Times New Roman"/>
                <w:b/>
                <w:sz w:val="24"/>
                <w:szCs w:val="24"/>
              </w:rPr>
              <w:t>4 904 166,67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23DFF">
              <w:rPr>
                <w:rFonts w:ascii="Times New Roman" w:hAnsi="Times New Roman" w:cs="Times New Roman"/>
                <w:sz w:val="24"/>
                <w:szCs w:val="24"/>
              </w:rPr>
              <w:t>етыре миллиона девятьсот четыре тысячи сто шестьдесят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23DFF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123DFF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491FD9" w:rsidRDefault="007C7C77" w:rsidP="00123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C77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553199" w:rsidRPr="00F801AE" w:rsidRDefault="00553199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E43699">
              <w:rPr>
                <w:b/>
                <w:color w:val="FF0000"/>
                <w:shd w:val="clear" w:color="auto" w:fill="FFFFFF" w:themeFill="background1"/>
              </w:rPr>
              <w:t xml:space="preserve">В составе заявки участнику закупки также необходимо предоставить </w:t>
            </w:r>
            <w:r w:rsidRPr="00E43699">
              <w:rPr>
                <w:b/>
                <w:color w:val="FF0000"/>
              </w:rPr>
              <w:t>документ</w:t>
            </w:r>
            <w:r>
              <w:rPr>
                <w:b/>
                <w:color w:val="FF0000"/>
              </w:rPr>
              <w:t>ы</w:t>
            </w:r>
            <w:r w:rsidRPr="00E43699">
              <w:rPr>
                <w:b/>
                <w:color w:val="FF0000"/>
              </w:rPr>
              <w:t>, отражающи</w:t>
            </w:r>
            <w:r>
              <w:rPr>
                <w:b/>
                <w:color w:val="FF0000"/>
              </w:rPr>
              <w:t>е</w:t>
            </w:r>
            <w:r w:rsidRPr="00E43699">
              <w:rPr>
                <w:b/>
                <w:color w:val="FF0000"/>
              </w:rPr>
              <w:t xml:space="preserve"> расчет стоимости </w:t>
            </w:r>
            <w:r>
              <w:rPr>
                <w:b/>
                <w:color w:val="FF0000"/>
              </w:rPr>
              <w:t>работ, составленные по ф.4 ч.3 тендерной документации «</w:t>
            </w:r>
            <w:r w:rsidRPr="00CF6A22">
              <w:rPr>
                <w:b/>
                <w:color w:val="FF0000"/>
              </w:rPr>
              <w:t>Формы для заполнения участниками тендера</w:t>
            </w:r>
            <w:r>
              <w:rPr>
                <w:b/>
                <w:color w:val="FF0000"/>
              </w:rPr>
              <w:t>» (ф.4 ч.3 «</w:t>
            </w:r>
            <w:r w:rsidRPr="00BC1EE6">
              <w:rPr>
                <w:b/>
                <w:color w:val="FF0000"/>
              </w:rPr>
              <w:t>Формы расчета стоимости (ф. 4.1.-4.5.)</w:t>
            </w:r>
            <w:r>
              <w:rPr>
                <w:b/>
                <w:color w:val="FF0000"/>
              </w:rPr>
              <w:t>»)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</w:t>
            </w:r>
            <w:r w:rsidRPr="00104B39">
              <w:rPr>
                <w:sz w:val="24"/>
                <w:szCs w:val="24"/>
              </w:rPr>
              <w:lastRenderedPageBreak/>
              <w:t>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DB55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представленным в составе части 3 настоящей документации о проведении тендера и содержать сведения и документы, указанные в настоящей документации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01A9" w:rsidRPr="00DB55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DB558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DB558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DB558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08FA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08FA">
              <w:rPr>
                <w:rFonts w:ascii="Times New Roman" w:hAnsi="Times New Roman" w:cs="Times New Roman"/>
                <w:b/>
                <w:sz w:val="24"/>
                <w:szCs w:val="24"/>
              </w:rPr>
              <w:t>феврал</w:t>
            </w:r>
            <w:r w:rsidR="00DD7A4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4908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D7A4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DD7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7A42" w:rsidRPr="00DD7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DD7A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D7A4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D7A42" w:rsidRPr="00DD7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553199" w:rsidRPr="00104B39" w:rsidRDefault="00553199" w:rsidP="00553199">
            <w:pPr>
              <w:pStyle w:val="a5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>0 %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553199" w:rsidRPr="0028408E" w:rsidRDefault="00553199" w:rsidP="0055319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Квалификация  участника закупки – 30 % (всего 100 баллов) в </w:t>
            </w:r>
            <w:proofErr w:type="spellStart"/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. подкритерии:</w:t>
            </w:r>
          </w:p>
          <w:p w:rsidR="00553199" w:rsidRDefault="00553199" w:rsidP="00553199">
            <w:pPr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03656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выполнения </w:t>
            </w:r>
            <w:r w:rsidRPr="00036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 аналогичных предмету закупки. </w:t>
            </w:r>
            <w:r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3199" w:rsidRPr="000D42B1" w:rsidRDefault="00553199" w:rsidP="00553199">
            <w:pPr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количество баллов по подкритерию – 40 баллов.</w:t>
            </w:r>
          </w:p>
          <w:p w:rsidR="00553199" w:rsidRDefault="00553199" w:rsidP="00553199">
            <w:pPr>
              <w:pStyle w:val="a5"/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28408E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участника закупки, положительной деловой репутации, полученной по результатам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, аналогичны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предмету закупки за период 2014-2017 гг., подтвержденной отзывами (письма, благодарности, дипломы, грамоты и т.п.) с приложением копий подтверждающих документов. В ходе оценки учитываются содержание и даты оформления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3199" w:rsidRPr="000D42B1" w:rsidRDefault="00553199" w:rsidP="00553199">
            <w:pPr>
              <w:pStyle w:val="a5"/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количество баллов по подкритерию – 10 баллов.</w:t>
            </w:r>
          </w:p>
          <w:p w:rsidR="00553199" w:rsidRDefault="00553199" w:rsidP="00553199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3. Наличие у участника круглосуточной аварийно-ремонтной службы обеспечивающей прибытие специалистов на территорию 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котельной 60 МВт </w:t>
            </w:r>
            <w:proofErr w:type="spellStart"/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. +540</w:t>
            </w:r>
            <w:r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1 часа, с момента возникновения необходимости. Допускается предоставление  участником копий подтверждающих документов: положение об аварийно-ремонтной службе, приказ о назначении на должность сотрудников входящих в состав службы, подтверждающие документы укомплектованности службы автомобильным транспортом, утвержденный перечень оснащенности службы аварийным запасом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3199" w:rsidRDefault="00553199" w:rsidP="00553199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количество баллов по подкритерию – 50 баллов.</w:t>
            </w:r>
          </w:p>
          <w:p w:rsidR="001B3B45" w:rsidRPr="00CA0D7F" w:rsidRDefault="00553199" w:rsidP="0055319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6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4EF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54EF8" w:rsidRPr="00254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254EF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254EF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54EF8" w:rsidRPr="00254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электронной площадки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80F" w:rsidRDefault="00F6680F" w:rsidP="0097081F">
      <w:pPr>
        <w:spacing w:after="0" w:line="240" w:lineRule="auto"/>
      </w:pPr>
      <w:r>
        <w:separator/>
      </w:r>
    </w:p>
  </w:endnote>
  <w:endnote w:type="continuationSeparator" w:id="0">
    <w:p w:rsidR="00F6680F" w:rsidRDefault="00F6680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54EF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80F" w:rsidRDefault="00F6680F" w:rsidP="0097081F">
      <w:pPr>
        <w:spacing w:after="0" w:line="240" w:lineRule="auto"/>
      </w:pPr>
      <w:r>
        <w:separator/>
      </w:r>
    </w:p>
  </w:footnote>
  <w:footnote w:type="continuationSeparator" w:id="0">
    <w:p w:rsidR="00F6680F" w:rsidRDefault="00F6680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071B0"/>
    <w:rsid w:val="001109C2"/>
    <w:rsid w:val="00111D98"/>
    <w:rsid w:val="001129CA"/>
    <w:rsid w:val="001142BF"/>
    <w:rsid w:val="0011449D"/>
    <w:rsid w:val="001205FA"/>
    <w:rsid w:val="00121F4C"/>
    <w:rsid w:val="00123DFF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4EF8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AF2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8FA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53199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620A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C7C77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78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5F6C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319A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4297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D7A42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07E49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6680F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B029-2EB2-490B-8973-B82293A9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9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189</cp:revision>
  <cp:lastPrinted>2017-03-23T12:17:00Z</cp:lastPrinted>
  <dcterms:created xsi:type="dcterms:W3CDTF">2016-04-18T15:02:00Z</dcterms:created>
  <dcterms:modified xsi:type="dcterms:W3CDTF">2019-02-08T11:21:00Z</dcterms:modified>
</cp:coreProperties>
</file>