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643A4B">
              <w:rPr>
                <w:rFonts w:ascii="Times New Roman" w:hAnsi="Times New Roman" w:cs="Times New Roman"/>
                <w:b/>
                <w:sz w:val="24"/>
                <w:szCs w:val="24"/>
              </w:rPr>
              <w:t>12</w:t>
            </w:r>
            <w:r w:rsidR="00FD5ADA">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2A6A97" w:rsidRPr="002A6A97">
              <w:t>Оказание услуг по сбору и транспортированию отходов производства и потребления IV-V класса опасности с объектов НАО «Красная поляна</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0D5CC2" w:rsidP="0080691E">
            <w:pPr>
              <w:pStyle w:val="31"/>
              <w:shd w:val="clear" w:color="auto" w:fill="FFFFFF"/>
              <w:tabs>
                <w:tab w:val="clear" w:pos="227"/>
              </w:tabs>
              <w:rPr>
                <w:szCs w:val="24"/>
              </w:rPr>
            </w:pPr>
            <w:r w:rsidRPr="003D4AF9">
              <w:t xml:space="preserve">Краснодарский край, г.Сочи, Адлерский район, </w:t>
            </w:r>
            <w:r>
              <w:t xml:space="preserve">пос. </w:t>
            </w:r>
            <w:r w:rsidRPr="00105C07">
              <w:t>Красная поляна</w:t>
            </w:r>
            <w:r>
              <w:t>,</w:t>
            </w:r>
            <w:r w:rsidRPr="003D4AF9">
              <w:t xml:space="preserve"> с.</w:t>
            </w:r>
            <w:r>
              <w:t xml:space="preserve"> </w:t>
            </w:r>
            <w:r w:rsidRPr="003D4AF9">
              <w:t xml:space="preserve">Эсто-Садок, </w:t>
            </w:r>
            <w:r>
              <w:t>«</w:t>
            </w:r>
            <w:r w:rsidRPr="00105C07">
              <w:t>Горки город</w:t>
            </w:r>
            <w:r>
              <w:t>» о</w:t>
            </w:r>
            <w:r w:rsidRPr="00105C07">
              <w:t xml:space="preserve">тм.+540, </w:t>
            </w:r>
            <w:r>
              <w:t xml:space="preserve"> отм. </w:t>
            </w:r>
            <w:r w:rsidRPr="00105C07">
              <w:t>+960</w:t>
            </w:r>
            <w: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w:t>
            </w:r>
            <w:r w:rsidRPr="00C70BCE">
              <w:rPr>
                <w:rFonts w:ascii="Times New Roman" w:eastAsia="Times New Roman" w:hAnsi="Times New Roman" w:cs="Times New Roman"/>
                <w:sz w:val="24"/>
                <w:szCs w:val="24"/>
              </w:rPr>
              <w:lastRenderedPageBreak/>
              <w:t>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10ED8" w:rsidRDefault="00A93099" w:rsidP="00A10ED8">
            <w:pPr>
              <w:spacing w:after="0" w:line="240" w:lineRule="auto"/>
              <w:contextualSpacing/>
              <w:jc w:val="both"/>
              <w:rPr>
                <w:rFonts w:ascii="Times New Roman" w:eastAsia="Times New Roman" w:hAnsi="Times New Roman" w:cs="Times New Roman"/>
                <w:i/>
                <w:sz w:val="24"/>
                <w:szCs w:val="24"/>
              </w:rPr>
            </w:pPr>
            <w:r w:rsidRPr="004830B7">
              <w:rPr>
                <w:rFonts w:ascii="Times New Roman" w:eastAsia="Times New Roman" w:hAnsi="Times New Roman" w:cs="Times New Roman"/>
                <w:sz w:val="24"/>
                <w:szCs w:val="24"/>
              </w:rPr>
              <w:t xml:space="preserve">5) </w:t>
            </w:r>
            <w:r w:rsidR="00A10ED8" w:rsidRPr="004830B7">
              <w:rPr>
                <w:rFonts w:ascii="Times New Roman" w:eastAsia="Times New Roman" w:hAnsi="Times New Roman" w:cs="Times New Roman"/>
                <w:sz w:val="24"/>
                <w:szCs w:val="24"/>
              </w:rPr>
              <w:t xml:space="preserve">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у участника закупки лицензии на осуществление деятельности по сбору, транспортированию, обработке, утилизации, обезвреживанию, размещению отходов I-IV класса опасности </w:t>
            </w:r>
            <w:r w:rsidR="00A10ED8" w:rsidRPr="004830B7">
              <w:rPr>
                <w:rFonts w:ascii="Times New Roman" w:eastAsia="Times New Roman" w:hAnsi="Times New Roman" w:cs="Times New Roman"/>
                <w:i/>
                <w:sz w:val="24"/>
                <w:szCs w:val="24"/>
              </w:rPr>
              <w:t>(с предоставлением копий подтверждающих документов);</w:t>
            </w:r>
          </w:p>
          <w:p w:rsidR="00A10ED8" w:rsidRPr="00A10ED8" w:rsidRDefault="00A10ED8" w:rsidP="002862A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A10ED8">
              <w:rPr>
                <w:rFonts w:ascii="Times New Roman" w:eastAsia="Times New Roman" w:hAnsi="Times New Roman" w:cs="Times New Roman"/>
                <w:sz w:val="24"/>
                <w:szCs w:val="24"/>
              </w:rPr>
              <w:t>) Наличие у участника закупки договора с организацией, эксплуатирующей объект размещения отходов (полигон), включенный в Государственный реестр объектов размещения отходов</w:t>
            </w:r>
            <w:r>
              <w:rPr>
                <w:rFonts w:ascii="Times New Roman" w:eastAsia="Times New Roman" w:hAnsi="Times New Roman" w:cs="Times New Roman"/>
                <w:sz w:val="24"/>
                <w:szCs w:val="24"/>
              </w:rPr>
              <w:t xml:space="preserve"> </w:t>
            </w:r>
            <w:r w:rsidRPr="00A10ED8">
              <w:rPr>
                <w:rFonts w:ascii="Times New Roman" w:eastAsia="Times New Roman" w:hAnsi="Times New Roman" w:cs="Times New Roman"/>
                <w:i/>
                <w:sz w:val="24"/>
                <w:szCs w:val="24"/>
              </w:rPr>
              <w:t>(с предоставлением копи</w:t>
            </w:r>
            <w:r w:rsidR="002862A3">
              <w:rPr>
                <w:rFonts w:ascii="Times New Roman" w:eastAsia="Times New Roman" w:hAnsi="Times New Roman" w:cs="Times New Roman"/>
                <w:i/>
                <w:sz w:val="24"/>
                <w:szCs w:val="24"/>
              </w:rPr>
              <w:t>и</w:t>
            </w:r>
            <w:r w:rsidRPr="00A10ED8">
              <w:rPr>
                <w:rFonts w:ascii="Times New Roman" w:eastAsia="Times New Roman" w:hAnsi="Times New Roman" w:cs="Times New Roman"/>
                <w:i/>
                <w:sz w:val="24"/>
                <w:szCs w:val="24"/>
              </w:rPr>
              <w:t xml:space="preserve"> подтверждающ</w:t>
            </w:r>
            <w:r w:rsidR="002862A3">
              <w:rPr>
                <w:rFonts w:ascii="Times New Roman" w:eastAsia="Times New Roman" w:hAnsi="Times New Roman" w:cs="Times New Roman"/>
                <w:i/>
                <w:sz w:val="24"/>
                <w:szCs w:val="24"/>
              </w:rPr>
              <w:t>его</w:t>
            </w:r>
            <w:r w:rsidRPr="00A10ED8">
              <w:rPr>
                <w:rFonts w:ascii="Times New Roman" w:eastAsia="Times New Roman" w:hAnsi="Times New Roman" w:cs="Times New Roman"/>
                <w:i/>
                <w:sz w:val="24"/>
                <w:szCs w:val="24"/>
              </w:rPr>
              <w:t xml:space="preserve"> документ</w:t>
            </w:r>
            <w:r w:rsidR="002862A3">
              <w:rPr>
                <w:rFonts w:ascii="Times New Roman" w:eastAsia="Times New Roman" w:hAnsi="Times New Roman" w:cs="Times New Roman"/>
                <w:i/>
                <w:sz w:val="24"/>
                <w:szCs w:val="24"/>
              </w:rPr>
              <w:t>а</w:t>
            </w:r>
            <w:r w:rsidRPr="00A10ED8">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F63752" w:rsidP="00A93099">
            <w:pPr>
              <w:pStyle w:val="31"/>
              <w:shd w:val="clear" w:color="auto" w:fill="FFFFFF"/>
              <w:rPr>
                <w:i/>
                <w:szCs w:val="24"/>
              </w:rPr>
            </w:pPr>
            <w:r>
              <w:rPr>
                <w:szCs w:val="24"/>
              </w:rPr>
              <w:t>7</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F63752" w:rsidP="00A93099">
            <w:pPr>
              <w:pStyle w:val="31"/>
              <w:shd w:val="clear" w:color="auto" w:fill="FFFFFF"/>
              <w:tabs>
                <w:tab w:val="clear" w:pos="227"/>
              </w:tabs>
              <w:rPr>
                <w:i/>
                <w:szCs w:val="24"/>
              </w:rPr>
            </w:pPr>
            <w:r>
              <w:rPr>
                <w:szCs w:val="24"/>
              </w:rPr>
              <w:t>8</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F63752" w:rsidP="00A93099">
            <w:pPr>
              <w:pStyle w:val="31"/>
              <w:shd w:val="clear" w:color="auto" w:fill="FFFFFF"/>
              <w:tabs>
                <w:tab w:val="clear" w:pos="227"/>
              </w:tabs>
              <w:rPr>
                <w:i/>
                <w:szCs w:val="24"/>
              </w:rPr>
            </w:pPr>
            <w:r>
              <w:rPr>
                <w:szCs w:val="24"/>
              </w:rPr>
              <w:t>9</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w:t>
            </w:r>
            <w:r w:rsidRPr="00B67466">
              <w:rPr>
                <w:rFonts w:ascii="Times New Roman" w:eastAsia="Times New Roman" w:hAnsi="Times New Roman" w:cs="Times New Roman"/>
                <w:sz w:val="24"/>
                <w:szCs w:val="24"/>
                <w:lang w:eastAsia="en-US"/>
              </w:rPr>
              <w:lastRenderedPageBreak/>
              <w:t>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406E9F" w:rsidP="009A55D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Не установлены</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AB0D90" w:rsidP="00392117">
            <w:pPr>
              <w:shd w:val="clear" w:color="auto" w:fill="FFFFFF" w:themeFill="background1"/>
              <w:spacing w:after="0" w:line="240" w:lineRule="auto"/>
              <w:jc w:val="both"/>
              <w:rPr>
                <w:rFonts w:ascii="Times New Roman" w:hAnsi="Times New Roman" w:cs="Times New Roman"/>
                <w:sz w:val="24"/>
                <w:szCs w:val="24"/>
              </w:rPr>
            </w:pPr>
            <w:r w:rsidRPr="00AB0D90">
              <w:rPr>
                <w:rFonts w:ascii="Times New Roman" w:hAnsi="Times New Roman" w:cs="Times New Roman"/>
                <w:sz w:val="24"/>
                <w:szCs w:val="24"/>
              </w:rPr>
              <w:t>В соответствии с условиями проекта договора (ч.4 тендерной документации).</w:t>
            </w:r>
            <w:bookmarkStart w:id="0" w:name="_GoBack"/>
            <w:bookmarkEnd w:id="0"/>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4D038B" w:rsidP="00C92C66">
            <w:pPr>
              <w:spacing w:after="0" w:line="240" w:lineRule="auto"/>
              <w:jc w:val="both"/>
              <w:rPr>
                <w:rFonts w:ascii="Times New Roman" w:eastAsia="Times New Roman" w:hAnsi="Times New Roman" w:cs="Times New Roman"/>
                <w:sz w:val="24"/>
                <w:szCs w:val="24"/>
              </w:rPr>
            </w:pPr>
            <w:r w:rsidRPr="004D038B">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40591C"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Предельная стоимость услуг по Договору (Цена Договора) не может превышать </w:t>
            </w:r>
            <w:r w:rsidR="003010A7" w:rsidRPr="003010A7">
              <w:rPr>
                <w:rFonts w:ascii="Times New Roman" w:hAnsi="Times New Roman"/>
                <w:b/>
                <w:sz w:val="24"/>
                <w:szCs w:val="24"/>
              </w:rPr>
              <w:t>38 438 381,62</w:t>
            </w:r>
            <w:r w:rsidRPr="0090094F">
              <w:rPr>
                <w:rFonts w:ascii="Times New Roman" w:hAnsi="Times New Roman"/>
                <w:b/>
                <w:sz w:val="24"/>
                <w:szCs w:val="24"/>
              </w:rPr>
              <w:t xml:space="preserve"> руб.</w:t>
            </w:r>
            <w:r w:rsidRPr="0090094F">
              <w:rPr>
                <w:rFonts w:ascii="Times New Roman" w:hAnsi="Times New Roman"/>
                <w:sz w:val="24"/>
                <w:szCs w:val="24"/>
              </w:rPr>
              <w:t xml:space="preserve"> (</w:t>
            </w:r>
            <w:r w:rsidR="003010A7">
              <w:rPr>
                <w:rFonts w:ascii="Times New Roman" w:hAnsi="Times New Roman"/>
                <w:sz w:val="24"/>
                <w:szCs w:val="24"/>
              </w:rPr>
              <w:t>т</w:t>
            </w:r>
            <w:r w:rsidR="003010A7" w:rsidRPr="003010A7">
              <w:rPr>
                <w:rFonts w:ascii="Times New Roman" w:hAnsi="Times New Roman"/>
                <w:sz w:val="24"/>
                <w:szCs w:val="24"/>
              </w:rPr>
              <w:t>ридцать восемь миллионов четыреста тридцать восемь тысяч триста восемьдесят один</w:t>
            </w:r>
            <w:r w:rsidR="003010A7">
              <w:rPr>
                <w:rFonts w:ascii="Times New Roman" w:hAnsi="Times New Roman"/>
                <w:sz w:val="24"/>
                <w:szCs w:val="24"/>
              </w:rPr>
              <w:t>)</w:t>
            </w:r>
            <w:r w:rsidR="003010A7" w:rsidRPr="003010A7">
              <w:rPr>
                <w:rFonts w:ascii="Times New Roman" w:hAnsi="Times New Roman"/>
                <w:sz w:val="24"/>
                <w:szCs w:val="24"/>
              </w:rPr>
              <w:t xml:space="preserve"> рубль </w:t>
            </w:r>
            <w:r w:rsidR="003010A7">
              <w:rPr>
                <w:rFonts w:ascii="Times New Roman" w:hAnsi="Times New Roman"/>
                <w:sz w:val="24"/>
                <w:szCs w:val="24"/>
              </w:rPr>
              <w:t>62</w:t>
            </w:r>
            <w:r w:rsidR="003010A7" w:rsidRPr="003010A7">
              <w:rPr>
                <w:rFonts w:ascii="Times New Roman" w:hAnsi="Times New Roman"/>
                <w:sz w:val="24"/>
                <w:szCs w:val="24"/>
              </w:rPr>
              <w:t xml:space="preserve"> копейк</w:t>
            </w:r>
            <w:r w:rsidR="003010A7">
              <w:rPr>
                <w:rFonts w:ascii="Times New Roman" w:hAnsi="Times New Roman"/>
                <w:sz w:val="24"/>
                <w:szCs w:val="24"/>
              </w:rPr>
              <w:t>и</w:t>
            </w:r>
            <w:r w:rsidRPr="0090094F">
              <w:rPr>
                <w:rFonts w:ascii="Times New Roman" w:hAnsi="Times New Roman"/>
                <w:sz w:val="24"/>
                <w:szCs w:val="24"/>
              </w:rPr>
              <w:t xml:space="preserve">, в том числе НДС </w:t>
            </w:r>
            <w:r w:rsidR="003010A7">
              <w:rPr>
                <w:rFonts w:ascii="Times New Roman" w:hAnsi="Times New Roman"/>
                <w:sz w:val="24"/>
                <w:szCs w:val="24"/>
              </w:rPr>
              <w:t>(20</w:t>
            </w:r>
            <w:r w:rsidRPr="0090094F">
              <w:rPr>
                <w:rFonts w:ascii="Times New Roman" w:hAnsi="Times New Roman"/>
                <w:sz w:val="24"/>
                <w:szCs w:val="24"/>
              </w:rPr>
              <w:t xml:space="preserve">%) – </w:t>
            </w:r>
            <w:r w:rsidR="003010A7" w:rsidRPr="003010A7">
              <w:rPr>
                <w:rFonts w:ascii="Times New Roman" w:hAnsi="Times New Roman"/>
                <w:b/>
                <w:sz w:val="24"/>
                <w:szCs w:val="24"/>
              </w:rPr>
              <w:t>6 406 396,94</w:t>
            </w:r>
            <w:r w:rsidRPr="0090094F">
              <w:rPr>
                <w:rFonts w:ascii="Times New Roman" w:hAnsi="Times New Roman"/>
                <w:b/>
                <w:sz w:val="24"/>
                <w:szCs w:val="24"/>
              </w:rPr>
              <w:t xml:space="preserve"> руб</w:t>
            </w:r>
            <w:r w:rsidRPr="0090094F">
              <w:rPr>
                <w:rFonts w:ascii="Times New Roman" w:hAnsi="Times New Roman"/>
                <w:sz w:val="24"/>
                <w:szCs w:val="24"/>
              </w:rPr>
              <w:t>. (</w:t>
            </w:r>
            <w:r w:rsidR="0040591C">
              <w:rPr>
                <w:rFonts w:ascii="Times New Roman" w:hAnsi="Times New Roman"/>
                <w:sz w:val="24"/>
                <w:szCs w:val="24"/>
              </w:rPr>
              <w:t>ш</w:t>
            </w:r>
            <w:r w:rsidR="0040591C" w:rsidRPr="0040591C">
              <w:rPr>
                <w:rFonts w:ascii="Times New Roman" w:hAnsi="Times New Roman"/>
                <w:sz w:val="24"/>
                <w:szCs w:val="24"/>
              </w:rPr>
              <w:t>есть миллионов четыреста шесть тысяч триста девяносто шесть</w:t>
            </w:r>
            <w:r w:rsidR="0040591C">
              <w:rPr>
                <w:rFonts w:ascii="Times New Roman" w:hAnsi="Times New Roman"/>
                <w:sz w:val="24"/>
                <w:szCs w:val="24"/>
              </w:rPr>
              <w:t>)</w:t>
            </w:r>
            <w:r w:rsidR="0040591C" w:rsidRPr="0040591C">
              <w:rPr>
                <w:rFonts w:ascii="Times New Roman" w:hAnsi="Times New Roman"/>
                <w:sz w:val="24"/>
                <w:szCs w:val="24"/>
              </w:rPr>
              <w:t xml:space="preserve"> рублей </w:t>
            </w:r>
            <w:r w:rsidR="0040591C">
              <w:rPr>
                <w:rFonts w:ascii="Times New Roman" w:hAnsi="Times New Roman"/>
                <w:sz w:val="24"/>
                <w:szCs w:val="24"/>
              </w:rPr>
              <w:t>94 копейки;</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C55A65" w:rsidRPr="00C55A65">
              <w:rPr>
                <w:rFonts w:ascii="Times New Roman" w:hAnsi="Times New Roman"/>
                <w:b/>
                <w:sz w:val="24"/>
                <w:szCs w:val="24"/>
              </w:rPr>
              <w:t>32 031 984,68</w:t>
            </w:r>
            <w:r w:rsidRPr="0090094F">
              <w:rPr>
                <w:rFonts w:ascii="Times New Roman" w:hAnsi="Times New Roman"/>
                <w:b/>
                <w:sz w:val="24"/>
                <w:szCs w:val="24"/>
              </w:rPr>
              <w:t xml:space="preserve"> </w:t>
            </w:r>
            <w:r w:rsidRPr="0090094F">
              <w:rPr>
                <w:rFonts w:ascii="Times New Roman" w:hAnsi="Times New Roman"/>
                <w:sz w:val="24"/>
                <w:szCs w:val="24"/>
              </w:rPr>
              <w:t>(</w:t>
            </w:r>
            <w:r w:rsidR="00C55A65">
              <w:rPr>
                <w:rFonts w:ascii="Times New Roman" w:hAnsi="Times New Roman"/>
                <w:sz w:val="24"/>
                <w:szCs w:val="24"/>
              </w:rPr>
              <w:t>т</w:t>
            </w:r>
            <w:r w:rsidR="00C55A65" w:rsidRPr="00C55A65">
              <w:rPr>
                <w:rFonts w:ascii="Times New Roman" w:hAnsi="Times New Roman"/>
                <w:sz w:val="24"/>
                <w:szCs w:val="24"/>
              </w:rPr>
              <w:t>ридцать два миллиона тридцать одна тысяча девятьсот восемьдесят четыре</w:t>
            </w:r>
            <w:r w:rsidR="00C55A65">
              <w:rPr>
                <w:rFonts w:ascii="Times New Roman" w:hAnsi="Times New Roman"/>
                <w:sz w:val="24"/>
                <w:szCs w:val="24"/>
              </w:rPr>
              <w:t>)</w:t>
            </w:r>
            <w:r w:rsidR="00C55A65" w:rsidRPr="00C55A65">
              <w:rPr>
                <w:rFonts w:ascii="Times New Roman" w:hAnsi="Times New Roman"/>
                <w:sz w:val="24"/>
                <w:szCs w:val="24"/>
              </w:rPr>
              <w:t xml:space="preserve"> рубля </w:t>
            </w:r>
            <w:r w:rsidR="00C55A65">
              <w:rPr>
                <w:rFonts w:ascii="Times New Roman" w:hAnsi="Times New Roman"/>
                <w:sz w:val="24"/>
                <w:szCs w:val="24"/>
              </w:rPr>
              <w:t>68</w:t>
            </w:r>
            <w:r w:rsidR="00C55A65" w:rsidRPr="00C55A65">
              <w:rPr>
                <w:rFonts w:ascii="Times New Roman" w:hAnsi="Times New Roman"/>
                <w:sz w:val="24"/>
                <w:szCs w:val="24"/>
              </w:rPr>
              <w:t xml:space="preserve">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 xml:space="preserve">для участников, использующих право на освобождение от уплаты НДС или </w:t>
            </w:r>
            <w:r w:rsidR="003B7EA4" w:rsidRPr="0090094F">
              <w:rPr>
                <w:rFonts w:ascii="Times New Roman" w:hAnsi="Times New Roman" w:cs="Times New Roman"/>
                <w:i/>
                <w:sz w:val="24"/>
                <w:szCs w:val="24"/>
              </w:rPr>
              <w:lastRenderedPageBreak/>
              <w:t>не являющихся налогоплательщиками НДС</w:t>
            </w:r>
            <w:r w:rsidR="003B7EA4" w:rsidRPr="0090094F">
              <w:rPr>
                <w:sz w:val="24"/>
                <w:szCs w:val="24"/>
              </w:rPr>
              <w:t>).</w:t>
            </w:r>
          </w:p>
          <w:p w:rsidR="007C3429" w:rsidRPr="0090094F"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следующие начальные (максимальные) цены за единицу услуги</w:t>
            </w:r>
            <w:r w:rsidR="00E95B61">
              <w:rPr>
                <w:rFonts w:ascii="Times New Roman" w:hAnsi="Times New Roman"/>
                <w:sz w:val="24"/>
                <w:szCs w:val="24"/>
              </w:rPr>
              <w:t>:</w:t>
            </w:r>
          </w:p>
          <w:tbl>
            <w:tblPr>
              <w:tblStyle w:val="aa"/>
              <w:tblW w:w="0" w:type="auto"/>
              <w:tblLayout w:type="fixed"/>
              <w:tblLook w:val="04A0" w:firstRow="1" w:lastRow="0" w:firstColumn="1" w:lastColumn="0" w:noHBand="0" w:noVBand="1"/>
            </w:tblPr>
            <w:tblGrid>
              <w:gridCol w:w="596"/>
              <w:gridCol w:w="4536"/>
              <w:gridCol w:w="3118"/>
              <w:gridCol w:w="2835"/>
            </w:tblGrid>
            <w:tr w:rsidR="00B81C69" w:rsidRPr="006D7B59" w:rsidTr="006D7B59">
              <w:tc>
                <w:tcPr>
                  <w:tcW w:w="596" w:type="dxa"/>
                </w:tcPr>
                <w:p w:rsidR="00B81C69" w:rsidRPr="006D7B59" w:rsidRDefault="00B81C69" w:rsidP="00B81C69">
                  <w:pPr>
                    <w:jc w:val="center"/>
                    <w:rPr>
                      <w:rFonts w:ascii="Times New Roman" w:hAnsi="Times New Roman" w:cs="Times New Roman"/>
                      <w:sz w:val="18"/>
                      <w:szCs w:val="18"/>
                    </w:rPr>
                  </w:pPr>
                  <w:r w:rsidRPr="006D7B59">
                    <w:rPr>
                      <w:rFonts w:ascii="Times New Roman" w:eastAsia="Times New Roman" w:hAnsi="Times New Roman" w:cs="Times New Roman"/>
                      <w:b/>
                      <w:sz w:val="18"/>
                      <w:szCs w:val="18"/>
                    </w:rPr>
                    <w:t>№ п/п</w:t>
                  </w:r>
                </w:p>
              </w:tc>
              <w:tc>
                <w:tcPr>
                  <w:tcW w:w="4536" w:type="dxa"/>
                </w:tcPr>
                <w:p w:rsidR="00B81C69" w:rsidRPr="006D7B59" w:rsidRDefault="00B81C69" w:rsidP="00B81C69">
                  <w:pPr>
                    <w:jc w:val="center"/>
                    <w:rPr>
                      <w:rFonts w:ascii="Times New Roman" w:hAnsi="Times New Roman" w:cs="Times New Roman"/>
                      <w:sz w:val="18"/>
                      <w:szCs w:val="18"/>
                    </w:rPr>
                  </w:pPr>
                  <w:r w:rsidRPr="006D7B59">
                    <w:rPr>
                      <w:rFonts w:ascii="Times New Roman" w:eastAsia="Times New Roman" w:hAnsi="Times New Roman" w:cs="Times New Roman"/>
                      <w:b/>
                      <w:sz w:val="18"/>
                      <w:szCs w:val="18"/>
                    </w:rPr>
                    <w:t>Наименование услуги</w:t>
                  </w:r>
                </w:p>
              </w:tc>
              <w:tc>
                <w:tcPr>
                  <w:tcW w:w="3118" w:type="dxa"/>
                </w:tcPr>
                <w:p w:rsidR="00B81C69" w:rsidRPr="00B30389" w:rsidRDefault="00B81C69" w:rsidP="00B81C69">
                  <w:pPr>
                    <w:jc w:val="center"/>
                    <w:rPr>
                      <w:rFonts w:ascii="Times New Roman" w:eastAsia="Times New Roman" w:hAnsi="Times New Roman" w:cs="Times New Roman"/>
                      <w:b/>
                      <w:sz w:val="18"/>
                      <w:szCs w:val="18"/>
                    </w:rPr>
                  </w:pPr>
                  <w:r w:rsidRPr="00B30389">
                    <w:rPr>
                      <w:rFonts w:ascii="Times New Roman" w:eastAsia="Times New Roman" w:hAnsi="Times New Roman" w:cs="Times New Roman"/>
                      <w:b/>
                      <w:sz w:val="18"/>
                      <w:szCs w:val="18"/>
                    </w:rPr>
                    <w:t>Начальная максимальная цена за единицу услуги, без учета НДС</w:t>
                  </w:r>
                  <w:r>
                    <w:rPr>
                      <w:rFonts w:ascii="Times New Roman" w:eastAsia="Times New Roman" w:hAnsi="Times New Roman" w:cs="Times New Roman"/>
                      <w:b/>
                      <w:sz w:val="18"/>
                      <w:szCs w:val="18"/>
                    </w:rPr>
                    <w:t>,</w:t>
                  </w:r>
                  <w:r w:rsidRPr="00B30389">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w:t>
                  </w:r>
                  <w:r w:rsidRPr="00B30389">
                    <w:rPr>
                      <w:rFonts w:ascii="Times New Roman" w:eastAsia="Times New Roman" w:hAnsi="Times New Roman" w:cs="Times New Roman"/>
                      <w:b/>
                      <w:sz w:val="18"/>
                      <w:szCs w:val="18"/>
                    </w:rPr>
                    <w:t>руб.</w:t>
                  </w:r>
                  <w:r>
                    <w:rPr>
                      <w:rFonts w:ascii="Times New Roman" w:eastAsia="Times New Roman" w:hAnsi="Times New Roman" w:cs="Times New Roman"/>
                      <w:b/>
                      <w:sz w:val="18"/>
                      <w:szCs w:val="18"/>
                    </w:rPr>
                    <w:t>)</w:t>
                  </w:r>
                </w:p>
              </w:tc>
              <w:tc>
                <w:tcPr>
                  <w:tcW w:w="2835" w:type="dxa"/>
                </w:tcPr>
                <w:p w:rsidR="00B81C69" w:rsidRPr="00B30389" w:rsidRDefault="00B81C69" w:rsidP="00B81C69">
                  <w:pPr>
                    <w:jc w:val="center"/>
                    <w:rPr>
                      <w:rFonts w:ascii="Times New Roman" w:eastAsia="Times New Roman" w:hAnsi="Times New Roman" w:cs="Times New Roman"/>
                      <w:b/>
                      <w:sz w:val="18"/>
                      <w:szCs w:val="18"/>
                    </w:rPr>
                  </w:pPr>
                  <w:r w:rsidRPr="00B30389">
                    <w:rPr>
                      <w:rFonts w:ascii="Times New Roman" w:eastAsia="Times New Roman" w:hAnsi="Times New Roman" w:cs="Times New Roman"/>
                      <w:b/>
                      <w:sz w:val="18"/>
                      <w:szCs w:val="18"/>
                    </w:rPr>
                    <w:t xml:space="preserve">Начальная максимальная цена за единицу услуги, </w:t>
                  </w:r>
                  <w:r>
                    <w:rPr>
                      <w:rFonts w:ascii="Times New Roman" w:eastAsia="Times New Roman" w:hAnsi="Times New Roman" w:cs="Times New Roman"/>
                      <w:b/>
                      <w:sz w:val="18"/>
                      <w:szCs w:val="18"/>
                    </w:rPr>
                    <w:t>в том числе</w:t>
                  </w:r>
                  <w:r w:rsidRPr="00B30389">
                    <w:rPr>
                      <w:rFonts w:ascii="Times New Roman" w:eastAsia="Times New Roman" w:hAnsi="Times New Roman" w:cs="Times New Roman"/>
                      <w:b/>
                      <w:sz w:val="18"/>
                      <w:szCs w:val="18"/>
                    </w:rPr>
                    <w:t xml:space="preserve"> НДС (</w:t>
                  </w:r>
                  <w:r>
                    <w:rPr>
                      <w:rFonts w:ascii="Times New Roman" w:eastAsia="Times New Roman" w:hAnsi="Times New Roman" w:cs="Times New Roman"/>
                      <w:b/>
                      <w:sz w:val="18"/>
                      <w:szCs w:val="18"/>
                    </w:rPr>
                    <w:t>20</w:t>
                  </w:r>
                  <w:r w:rsidRPr="00B30389">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w:t>
                  </w:r>
                  <w:r w:rsidRPr="00B30389">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w:t>
                  </w:r>
                  <w:r w:rsidRPr="00B30389">
                    <w:rPr>
                      <w:rFonts w:ascii="Times New Roman" w:eastAsia="Times New Roman" w:hAnsi="Times New Roman" w:cs="Times New Roman"/>
                      <w:b/>
                      <w:sz w:val="18"/>
                      <w:szCs w:val="18"/>
                    </w:rPr>
                    <w:t>руб.</w:t>
                  </w:r>
                  <w:r>
                    <w:rPr>
                      <w:rFonts w:ascii="Times New Roman" w:eastAsia="Times New Roman" w:hAnsi="Times New Roman" w:cs="Times New Roman"/>
                      <w:b/>
                      <w:sz w:val="18"/>
                      <w:szCs w:val="18"/>
                    </w:rPr>
                    <w:t>)</w:t>
                  </w:r>
                </w:p>
              </w:tc>
            </w:tr>
            <w:tr w:rsidR="00FF4CF2" w:rsidRPr="006D7B59" w:rsidTr="006D7B59">
              <w:tc>
                <w:tcPr>
                  <w:tcW w:w="596" w:type="dxa"/>
                </w:tcPr>
                <w:p w:rsidR="00FF4CF2" w:rsidRPr="006D7B59" w:rsidRDefault="00FF4CF2" w:rsidP="00FF4CF2">
                  <w:pPr>
                    <w:jc w:val="center"/>
                    <w:rPr>
                      <w:rFonts w:ascii="Times New Roman" w:hAnsi="Times New Roman" w:cs="Times New Roman"/>
                      <w:sz w:val="18"/>
                      <w:szCs w:val="18"/>
                    </w:rPr>
                  </w:pPr>
                  <w:r w:rsidRPr="006D7B59">
                    <w:rPr>
                      <w:rFonts w:ascii="Times New Roman" w:hAnsi="Times New Roman" w:cs="Times New Roman"/>
                      <w:sz w:val="18"/>
                      <w:szCs w:val="18"/>
                    </w:rPr>
                    <w:t>1</w:t>
                  </w:r>
                </w:p>
              </w:tc>
              <w:tc>
                <w:tcPr>
                  <w:tcW w:w="4536" w:type="dxa"/>
                </w:tcPr>
                <w:p w:rsidR="00FF4CF2" w:rsidRPr="006D7B59" w:rsidRDefault="00FF4CF2" w:rsidP="00FF4CF2">
                  <w:pPr>
                    <w:rPr>
                      <w:rFonts w:ascii="Times New Roman" w:hAnsi="Times New Roman" w:cs="Times New Roman"/>
                      <w:sz w:val="18"/>
                      <w:szCs w:val="18"/>
                    </w:rPr>
                  </w:pPr>
                  <w:r w:rsidRPr="006D7B59">
                    <w:rPr>
                      <w:rFonts w:ascii="Times New Roman" w:hAnsi="Times New Roman" w:cs="Times New Roman"/>
                      <w:sz w:val="18"/>
                      <w:szCs w:val="18"/>
                    </w:rPr>
                    <w:t>Очистка контейнера 1,1 м</w:t>
                  </w:r>
                  <w:r w:rsidRPr="006D7B59">
                    <w:rPr>
                      <w:rFonts w:ascii="Times New Roman" w:hAnsi="Times New Roman" w:cs="Times New Roman"/>
                      <w:sz w:val="18"/>
                      <w:szCs w:val="18"/>
                      <w:vertAlign w:val="superscript"/>
                    </w:rPr>
                    <w:t>3</w:t>
                  </w:r>
                </w:p>
              </w:tc>
              <w:tc>
                <w:tcPr>
                  <w:tcW w:w="3118"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660</w:t>
                  </w:r>
                  <w:r w:rsidR="005073FA">
                    <w:rPr>
                      <w:rFonts w:ascii="Times New Roman" w:hAnsi="Times New Roman" w:cs="Times New Roman"/>
                      <w:sz w:val="20"/>
                      <w:szCs w:val="20"/>
                    </w:rPr>
                    <w:t>,00</w:t>
                  </w:r>
                </w:p>
              </w:tc>
              <w:tc>
                <w:tcPr>
                  <w:tcW w:w="2835"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792</w:t>
                  </w:r>
                  <w:r w:rsidR="005073FA">
                    <w:rPr>
                      <w:rFonts w:ascii="Times New Roman" w:hAnsi="Times New Roman" w:cs="Times New Roman"/>
                      <w:sz w:val="20"/>
                      <w:szCs w:val="20"/>
                    </w:rPr>
                    <w:t>,00</w:t>
                  </w:r>
                </w:p>
              </w:tc>
            </w:tr>
            <w:tr w:rsidR="00FF4CF2" w:rsidRPr="006D7B59" w:rsidTr="006D7B59">
              <w:tc>
                <w:tcPr>
                  <w:tcW w:w="596" w:type="dxa"/>
                </w:tcPr>
                <w:p w:rsidR="00FF4CF2" w:rsidRPr="006D7B59" w:rsidRDefault="00FF4CF2" w:rsidP="00FF4CF2">
                  <w:pPr>
                    <w:jc w:val="center"/>
                    <w:rPr>
                      <w:rFonts w:ascii="Times New Roman" w:hAnsi="Times New Roman" w:cs="Times New Roman"/>
                      <w:sz w:val="18"/>
                      <w:szCs w:val="18"/>
                    </w:rPr>
                  </w:pPr>
                  <w:r w:rsidRPr="006D7B59">
                    <w:rPr>
                      <w:rFonts w:ascii="Times New Roman" w:hAnsi="Times New Roman" w:cs="Times New Roman"/>
                      <w:sz w:val="18"/>
                      <w:szCs w:val="18"/>
                    </w:rPr>
                    <w:t>2</w:t>
                  </w:r>
                </w:p>
              </w:tc>
              <w:tc>
                <w:tcPr>
                  <w:tcW w:w="4536" w:type="dxa"/>
                </w:tcPr>
                <w:p w:rsidR="00FF4CF2" w:rsidRPr="006D7B59" w:rsidRDefault="00FF4CF2" w:rsidP="00FF4CF2">
                  <w:pPr>
                    <w:rPr>
                      <w:rFonts w:ascii="Times New Roman" w:hAnsi="Times New Roman" w:cs="Times New Roman"/>
                      <w:sz w:val="18"/>
                      <w:szCs w:val="18"/>
                    </w:rPr>
                  </w:pPr>
                  <w:r w:rsidRPr="006D7B59">
                    <w:rPr>
                      <w:rFonts w:ascii="Times New Roman" w:hAnsi="Times New Roman" w:cs="Times New Roman"/>
                      <w:sz w:val="18"/>
                      <w:szCs w:val="18"/>
                    </w:rPr>
                    <w:t>Вывоз бункером-накопителем 8м</w:t>
                  </w:r>
                  <w:r w:rsidRPr="006D7B59">
                    <w:rPr>
                      <w:rFonts w:ascii="Times New Roman" w:hAnsi="Times New Roman" w:cs="Times New Roman"/>
                      <w:sz w:val="18"/>
                      <w:szCs w:val="18"/>
                      <w:vertAlign w:val="superscript"/>
                    </w:rPr>
                    <w:t xml:space="preserve">3 </w:t>
                  </w:r>
                </w:p>
              </w:tc>
              <w:tc>
                <w:tcPr>
                  <w:tcW w:w="3118"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13</w:t>
                  </w:r>
                  <w:r w:rsidR="0020186A">
                    <w:rPr>
                      <w:rFonts w:ascii="Times New Roman" w:hAnsi="Times New Roman" w:cs="Times New Roman"/>
                      <w:sz w:val="20"/>
                      <w:szCs w:val="20"/>
                    </w:rPr>
                    <w:t xml:space="preserve"> </w:t>
                  </w:r>
                  <w:r>
                    <w:rPr>
                      <w:rFonts w:ascii="Times New Roman" w:hAnsi="Times New Roman" w:cs="Times New Roman"/>
                      <w:sz w:val="20"/>
                      <w:szCs w:val="20"/>
                    </w:rPr>
                    <w:t>333,33</w:t>
                  </w:r>
                </w:p>
              </w:tc>
              <w:tc>
                <w:tcPr>
                  <w:tcW w:w="2835"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16</w:t>
                  </w:r>
                  <w:r w:rsidR="0020186A">
                    <w:rPr>
                      <w:rFonts w:ascii="Times New Roman" w:hAnsi="Times New Roman" w:cs="Times New Roman"/>
                      <w:sz w:val="20"/>
                      <w:szCs w:val="20"/>
                    </w:rPr>
                    <w:t xml:space="preserve"> </w:t>
                  </w:r>
                  <w:r>
                    <w:rPr>
                      <w:rFonts w:ascii="Times New Roman" w:hAnsi="Times New Roman" w:cs="Times New Roman"/>
                      <w:sz w:val="20"/>
                      <w:szCs w:val="20"/>
                    </w:rPr>
                    <w:t>000</w:t>
                  </w:r>
                  <w:r w:rsidR="005073FA">
                    <w:rPr>
                      <w:rFonts w:ascii="Times New Roman" w:hAnsi="Times New Roman" w:cs="Times New Roman"/>
                      <w:sz w:val="20"/>
                      <w:szCs w:val="20"/>
                    </w:rPr>
                    <w:t>,00</w:t>
                  </w:r>
                </w:p>
              </w:tc>
            </w:tr>
            <w:tr w:rsidR="00FF4CF2" w:rsidRPr="006D7B59" w:rsidTr="00A831C9">
              <w:tc>
                <w:tcPr>
                  <w:tcW w:w="596" w:type="dxa"/>
                </w:tcPr>
                <w:p w:rsidR="00FF4CF2" w:rsidRPr="006D7B59" w:rsidRDefault="00FF4CF2" w:rsidP="00FF4CF2">
                  <w:pPr>
                    <w:jc w:val="center"/>
                    <w:rPr>
                      <w:rFonts w:ascii="Times New Roman" w:hAnsi="Times New Roman" w:cs="Times New Roman"/>
                      <w:sz w:val="18"/>
                      <w:szCs w:val="18"/>
                    </w:rPr>
                  </w:pPr>
                  <w:r w:rsidRPr="006D7B59">
                    <w:rPr>
                      <w:rFonts w:ascii="Times New Roman" w:hAnsi="Times New Roman" w:cs="Times New Roman"/>
                      <w:sz w:val="18"/>
                      <w:szCs w:val="18"/>
                    </w:rPr>
                    <w:t>3</w:t>
                  </w:r>
                </w:p>
              </w:tc>
              <w:tc>
                <w:tcPr>
                  <w:tcW w:w="4536" w:type="dxa"/>
                </w:tcPr>
                <w:p w:rsidR="00FF4CF2" w:rsidRPr="006D7B59" w:rsidRDefault="00FF4CF2" w:rsidP="00FF4CF2">
                  <w:pPr>
                    <w:rPr>
                      <w:rFonts w:ascii="Times New Roman" w:hAnsi="Times New Roman" w:cs="Times New Roman"/>
                      <w:sz w:val="18"/>
                      <w:szCs w:val="18"/>
                    </w:rPr>
                  </w:pPr>
                  <w:r w:rsidRPr="006D7B59">
                    <w:rPr>
                      <w:rFonts w:ascii="Times New Roman" w:hAnsi="Times New Roman" w:cs="Times New Roman"/>
                      <w:sz w:val="18"/>
                      <w:szCs w:val="18"/>
                    </w:rPr>
                    <w:t>Вывоз бункером-накопителем 10м</w:t>
                  </w:r>
                  <w:r w:rsidRPr="006D7B59">
                    <w:rPr>
                      <w:rFonts w:ascii="Times New Roman" w:hAnsi="Times New Roman" w:cs="Times New Roman"/>
                      <w:sz w:val="18"/>
                      <w:szCs w:val="18"/>
                      <w:vertAlign w:val="superscript"/>
                    </w:rPr>
                    <w:t xml:space="preserve">3 </w:t>
                  </w:r>
                </w:p>
              </w:tc>
              <w:tc>
                <w:tcPr>
                  <w:tcW w:w="3118" w:type="dxa"/>
                  <w:tcBorders>
                    <w:top w:val="single" w:sz="8" w:space="0" w:color="auto"/>
                    <w:left w:val="single" w:sz="8" w:space="0" w:color="auto"/>
                    <w:bottom w:val="single" w:sz="8" w:space="0" w:color="auto"/>
                    <w:right w:val="single" w:sz="8" w:space="0" w:color="auto"/>
                  </w:tcBorders>
                  <w:shd w:val="clear" w:color="auto" w:fill="auto"/>
                  <w:vAlign w:val="center"/>
                </w:tcPr>
                <w:p w:rsidR="00FF4CF2" w:rsidRPr="00E821C4" w:rsidRDefault="00FF4CF2" w:rsidP="00FF4CF2">
                  <w:pPr>
                    <w:jc w:val="center"/>
                    <w:rPr>
                      <w:rFonts w:ascii="Times New Roman" w:hAnsi="Times New Roman" w:cs="Times New Roman"/>
                      <w:sz w:val="20"/>
                      <w:szCs w:val="20"/>
                    </w:rPr>
                  </w:pPr>
                  <w:r w:rsidRPr="00E821C4">
                    <w:rPr>
                      <w:rFonts w:ascii="Times New Roman" w:hAnsi="Times New Roman" w:cs="Times New Roman"/>
                      <w:sz w:val="20"/>
                      <w:szCs w:val="20"/>
                    </w:rPr>
                    <w:t>18</w:t>
                  </w:r>
                  <w:r w:rsidR="0020186A">
                    <w:rPr>
                      <w:rFonts w:ascii="Times New Roman" w:hAnsi="Times New Roman" w:cs="Times New Roman"/>
                      <w:sz w:val="20"/>
                      <w:szCs w:val="20"/>
                    </w:rPr>
                    <w:t xml:space="preserve"> </w:t>
                  </w:r>
                  <w:r w:rsidRPr="00E821C4">
                    <w:rPr>
                      <w:rFonts w:ascii="Times New Roman" w:hAnsi="Times New Roman" w:cs="Times New Roman"/>
                      <w:sz w:val="20"/>
                      <w:szCs w:val="20"/>
                    </w:rPr>
                    <w:t>750</w:t>
                  </w:r>
                  <w:r w:rsidR="005073FA">
                    <w:rPr>
                      <w:rFonts w:ascii="Times New Roman" w:hAnsi="Times New Roman" w:cs="Times New Roman"/>
                      <w:sz w:val="20"/>
                      <w:szCs w:val="20"/>
                    </w:rPr>
                    <w:t>,00</w:t>
                  </w:r>
                </w:p>
              </w:tc>
              <w:tc>
                <w:tcPr>
                  <w:tcW w:w="2835" w:type="dxa"/>
                  <w:tcBorders>
                    <w:top w:val="single" w:sz="8" w:space="0" w:color="auto"/>
                    <w:left w:val="nil"/>
                    <w:bottom w:val="single" w:sz="8" w:space="0" w:color="auto"/>
                    <w:right w:val="single" w:sz="8" w:space="0" w:color="auto"/>
                  </w:tcBorders>
                  <w:shd w:val="clear" w:color="auto" w:fill="auto"/>
                  <w:vAlign w:val="center"/>
                </w:tcPr>
                <w:p w:rsidR="00FF4CF2" w:rsidRPr="00E821C4" w:rsidRDefault="00FF4CF2" w:rsidP="00FF4CF2">
                  <w:pPr>
                    <w:jc w:val="center"/>
                    <w:rPr>
                      <w:rFonts w:ascii="Times New Roman" w:hAnsi="Times New Roman" w:cs="Times New Roman"/>
                      <w:sz w:val="20"/>
                      <w:szCs w:val="20"/>
                    </w:rPr>
                  </w:pPr>
                  <w:r w:rsidRPr="00E821C4">
                    <w:rPr>
                      <w:rFonts w:ascii="Times New Roman" w:hAnsi="Times New Roman" w:cs="Times New Roman"/>
                      <w:sz w:val="20"/>
                      <w:szCs w:val="20"/>
                    </w:rPr>
                    <w:t>22</w:t>
                  </w:r>
                  <w:r w:rsidR="0020186A">
                    <w:rPr>
                      <w:rFonts w:ascii="Times New Roman" w:hAnsi="Times New Roman" w:cs="Times New Roman"/>
                      <w:sz w:val="20"/>
                      <w:szCs w:val="20"/>
                    </w:rPr>
                    <w:t xml:space="preserve"> </w:t>
                  </w:r>
                  <w:r w:rsidRPr="00E821C4">
                    <w:rPr>
                      <w:rFonts w:ascii="Times New Roman" w:hAnsi="Times New Roman" w:cs="Times New Roman"/>
                      <w:sz w:val="20"/>
                      <w:szCs w:val="20"/>
                    </w:rPr>
                    <w:t>500</w:t>
                  </w:r>
                  <w:r w:rsidR="005073FA">
                    <w:rPr>
                      <w:rFonts w:ascii="Times New Roman" w:hAnsi="Times New Roman" w:cs="Times New Roman"/>
                      <w:sz w:val="20"/>
                      <w:szCs w:val="20"/>
                    </w:rPr>
                    <w:t>,00</w:t>
                  </w:r>
                </w:p>
              </w:tc>
            </w:tr>
            <w:tr w:rsidR="00FF4CF2" w:rsidRPr="006D7B59" w:rsidTr="006D7B59">
              <w:tc>
                <w:tcPr>
                  <w:tcW w:w="596" w:type="dxa"/>
                </w:tcPr>
                <w:p w:rsidR="00FF4CF2" w:rsidRPr="006D7B59" w:rsidRDefault="00FF4CF2" w:rsidP="00FF4CF2">
                  <w:pPr>
                    <w:jc w:val="center"/>
                    <w:rPr>
                      <w:rFonts w:ascii="Times New Roman" w:hAnsi="Times New Roman" w:cs="Times New Roman"/>
                      <w:sz w:val="18"/>
                      <w:szCs w:val="18"/>
                    </w:rPr>
                  </w:pPr>
                  <w:r w:rsidRPr="006D7B59">
                    <w:rPr>
                      <w:rFonts w:ascii="Times New Roman" w:hAnsi="Times New Roman" w:cs="Times New Roman"/>
                      <w:sz w:val="18"/>
                      <w:szCs w:val="18"/>
                    </w:rPr>
                    <w:t>4</w:t>
                  </w:r>
                </w:p>
              </w:tc>
              <w:tc>
                <w:tcPr>
                  <w:tcW w:w="4536" w:type="dxa"/>
                </w:tcPr>
                <w:p w:rsidR="00FF4CF2" w:rsidRPr="006D7B59" w:rsidRDefault="00FF4CF2" w:rsidP="00FF4CF2">
                  <w:pPr>
                    <w:rPr>
                      <w:rFonts w:ascii="Times New Roman" w:hAnsi="Times New Roman" w:cs="Times New Roman"/>
                      <w:sz w:val="18"/>
                      <w:szCs w:val="18"/>
                    </w:rPr>
                  </w:pPr>
                  <w:r w:rsidRPr="006D7B59">
                    <w:rPr>
                      <w:rFonts w:ascii="Times New Roman" w:hAnsi="Times New Roman" w:cs="Times New Roman"/>
                      <w:sz w:val="18"/>
                      <w:szCs w:val="18"/>
                    </w:rPr>
                    <w:t>Вывоз бункером-накопителем 27м</w:t>
                  </w:r>
                  <w:r w:rsidRPr="006D7B59">
                    <w:rPr>
                      <w:rFonts w:ascii="Times New Roman" w:hAnsi="Times New Roman" w:cs="Times New Roman"/>
                      <w:sz w:val="18"/>
                      <w:szCs w:val="18"/>
                      <w:vertAlign w:val="superscript"/>
                    </w:rPr>
                    <w:t xml:space="preserve">3 </w:t>
                  </w:r>
                </w:p>
              </w:tc>
              <w:tc>
                <w:tcPr>
                  <w:tcW w:w="3118"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33</w:t>
                  </w:r>
                  <w:r w:rsidR="0020186A">
                    <w:rPr>
                      <w:rFonts w:ascii="Times New Roman" w:hAnsi="Times New Roman" w:cs="Times New Roman"/>
                      <w:sz w:val="20"/>
                      <w:szCs w:val="20"/>
                    </w:rPr>
                    <w:t xml:space="preserve"> </w:t>
                  </w:r>
                  <w:r>
                    <w:rPr>
                      <w:rFonts w:ascii="Times New Roman" w:hAnsi="Times New Roman" w:cs="Times New Roman"/>
                      <w:sz w:val="20"/>
                      <w:szCs w:val="20"/>
                    </w:rPr>
                    <w:t>750</w:t>
                  </w:r>
                  <w:r w:rsidR="005073FA">
                    <w:rPr>
                      <w:rFonts w:ascii="Times New Roman" w:hAnsi="Times New Roman" w:cs="Times New Roman"/>
                      <w:sz w:val="20"/>
                      <w:szCs w:val="20"/>
                    </w:rPr>
                    <w:t>,00</w:t>
                  </w:r>
                </w:p>
              </w:tc>
              <w:tc>
                <w:tcPr>
                  <w:tcW w:w="2835" w:type="dxa"/>
                </w:tcPr>
                <w:p w:rsidR="00FF4CF2" w:rsidRPr="00227AC2" w:rsidRDefault="00FF4CF2" w:rsidP="00FF4CF2">
                  <w:pPr>
                    <w:jc w:val="center"/>
                    <w:rPr>
                      <w:rFonts w:ascii="Times New Roman" w:hAnsi="Times New Roman" w:cs="Times New Roman"/>
                      <w:sz w:val="20"/>
                      <w:szCs w:val="20"/>
                    </w:rPr>
                  </w:pPr>
                  <w:r>
                    <w:rPr>
                      <w:rFonts w:ascii="Times New Roman" w:hAnsi="Times New Roman" w:cs="Times New Roman"/>
                      <w:sz w:val="20"/>
                      <w:szCs w:val="20"/>
                    </w:rPr>
                    <w:t>40</w:t>
                  </w:r>
                  <w:r w:rsidR="0020186A">
                    <w:rPr>
                      <w:rFonts w:ascii="Times New Roman" w:hAnsi="Times New Roman" w:cs="Times New Roman"/>
                      <w:sz w:val="20"/>
                      <w:szCs w:val="20"/>
                    </w:rPr>
                    <w:t xml:space="preserve"> </w:t>
                  </w:r>
                  <w:r>
                    <w:rPr>
                      <w:rFonts w:ascii="Times New Roman" w:hAnsi="Times New Roman" w:cs="Times New Roman"/>
                      <w:sz w:val="20"/>
                      <w:szCs w:val="20"/>
                    </w:rPr>
                    <w:t>500</w:t>
                  </w:r>
                  <w:r w:rsidR="005073FA">
                    <w:rPr>
                      <w:rFonts w:ascii="Times New Roman" w:hAnsi="Times New Roman" w:cs="Times New Roman"/>
                      <w:sz w:val="20"/>
                      <w:szCs w:val="20"/>
                    </w:rPr>
                    <w:t>,00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C801A0" w:rsidRPr="00D11018" w:rsidRDefault="00CC7B0F" w:rsidP="00D11018">
            <w:pPr>
              <w:pStyle w:val="a9"/>
              <w:shd w:val="clear" w:color="auto" w:fill="FFFFFF" w:themeFill="background1"/>
              <w:spacing w:before="0" w:beforeAutospacing="0" w:after="0" w:afterAutospacing="0"/>
              <w:jc w:val="both"/>
              <w:rPr>
                <w:rFonts w:eastAsiaTheme="minorEastAsia"/>
                <w:sz w:val="22"/>
                <w:szCs w:val="22"/>
              </w:rPr>
            </w:pPr>
            <w:r w:rsidRPr="003B520D">
              <w:rPr>
                <w:rFonts w:eastAsia="Calibri"/>
              </w:rPr>
              <w:t>Цена договора сформирована с учётом затрат на перевозку, страхование, уплату таможенных пошлин, налогов и других обязательных платежей, связанные с выполнением условий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8578A0"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8578A0" w:rsidRPr="00104B39" w:rsidRDefault="008578A0" w:rsidP="008578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578A0" w:rsidRPr="00104B39" w:rsidRDefault="008578A0" w:rsidP="008578A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8578A0" w:rsidRPr="00104B39" w:rsidRDefault="008578A0" w:rsidP="008578A0">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lastRenderedPageBreak/>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w:t>
            </w:r>
            <w:r w:rsidRPr="00104B39">
              <w:rPr>
                <w:rFonts w:ascii="Times New Roman" w:hAnsi="Times New Roman" w:cs="Times New Roman"/>
                <w:sz w:val="24"/>
                <w:szCs w:val="24"/>
              </w:rPr>
              <w:lastRenderedPageBreak/>
              <w:t>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w:t>
            </w:r>
            <w:r w:rsidRPr="00104B39">
              <w:rPr>
                <w:rFonts w:ascii="Times New Roman" w:eastAsia="Times New Roman" w:hAnsi="Times New Roman" w:cs="Times New Roman"/>
                <w:sz w:val="24"/>
                <w:szCs w:val="24"/>
                <w:lang w:eastAsia="en-US"/>
              </w:rPr>
              <w:lastRenderedPageBreak/>
              <w:t>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E4646">
              <w:rPr>
                <w:rFonts w:ascii="Times New Roman" w:hAnsi="Times New Roman" w:cs="Times New Roman"/>
                <w:b/>
                <w:sz w:val="24"/>
                <w:szCs w:val="24"/>
              </w:rPr>
              <w:t>1</w:t>
            </w:r>
            <w:r w:rsidR="00F22314">
              <w:rPr>
                <w:rFonts w:ascii="Times New Roman" w:hAnsi="Times New Roman" w:cs="Times New Roman"/>
                <w:b/>
                <w:sz w:val="24"/>
                <w:szCs w:val="24"/>
              </w:rPr>
              <w:t>5</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22314">
              <w:rPr>
                <w:rFonts w:ascii="Times New Roman" w:hAnsi="Times New Roman" w:cs="Times New Roman"/>
                <w:b/>
                <w:sz w:val="24"/>
                <w:szCs w:val="24"/>
              </w:rPr>
              <w:t>но</w:t>
            </w:r>
            <w:r w:rsidR="00DA1E9E">
              <w:rPr>
                <w:rFonts w:ascii="Times New Roman" w:hAnsi="Times New Roman" w:cs="Times New Roman"/>
                <w:b/>
                <w:sz w:val="24"/>
                <w:szCs w:val="24"/>
              </w:rPr>
              <w:t>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4A06D4">
              <w:rPr>
                <w:rFonts w:ascii="Times New Roman" w:hAnsi="Times New Roman" w:cs="Times New Roman"/>
                <w:b/>
                <w:sz w:val="24"/>
                <w:szCs w:val="24"/>
              </w:rPr>
              <w:t>6</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F22314" w:rsidRPr="00F22314">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4A06D4">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4A06D4">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F22314" w:rsidRPr="00F22314">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34674" w:rsidP="0003467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1) </w:t>
            </w:r>
            <w:r w:rsidR="000017E2" w:rsidRPr="00034674">
              <w:rPr>
                <w:rFonts w:ascii="Times New Roman" w:eastAsia="Times New Roman" w:hAnsi="Times New Roman"/>
                <w:sz w:val="24"/>
                <w:szCs w:val="24"/>
              </w:rPr>
              <w:t xml:space="preserve">Цена </w:t>
            </w:r>
            <w:r w:rsidR="004A06D4">
              <w:rPr>
                <w:rFonts w:ascii="Times New Roman" w:eastAsia="Times New Roman" w:hAnsi="Times New Roman"/>
                <w:sz w:val="24"/>
                <w:szCs w:val="24"/>
              </w:rPr>
              <w:t>за единицу услуги</w:t>
            </w:r>
            <w:r w:rsidR="000017E2" w:rsidRPr="00034674">
              <w:rPr>
                <w:rFonts w:ascii="Times New Roman" w:eastAsia="Times New Roman" w:hAnsi="Times New Roman"/>
                <w:sz w:val="24"/>
                <w:szCs w:val="24"/>
              </w:rPr>
              <w:t xml:space="preserve"> – 60 % (100 баллов), в том числе:</w:t>
            </w:r>
          </w:p>
          <w:tbl>
            <w:tblPr>
              <w:tblStyle w:val="aa"/>
              <w:tblW w:w="0" w:type="auto"/>
              <w:tblLayout w:type="fixed"/>
              <w:tblLook w:val="04A0" w:firstRow="1" w:lastRow="0" w:firstColumn="1" w:lastColumn="0" w:noHBand="0" w:noVBand="1"/>
            </w:tblPr>
            <w:tblGrid>
              <w:gridCol w:w="738"/>
              <w:gridCol w:w="3402"/>
              <w:gridCol w:w="2835"/>
              <w:gridCol w:w="2551"/>
              <w:gridCol w:w="1559"/>
            </w:tblGrid>
            <w:tr w:rsidR="004F760A" w:rsidRPr="00B30389" w:rsidTr="0047676C">
              <w:tc>
                <w:tcPr>
                  <w:tcW w:w="738" w:type="dxa"/>
                  <w:vAlign w:val="center"/>
                </w:tcPr>
                <w:p w:rsidR="004F760A" w:rsidRPr="007E42A6" w:rsidRDefault="004F760A" w:rsidP="007E42A6">
                  <w:pPr>
                    <w:jc w:val="center"/>
                    <w:textAlignment w:val="baseline"/>
                    <w:rPr>
                      <w:rFonts w:ascii="Times New Roman" w:eastAsia="Calibri" w:hAnsi="Times New Roman" w:cs="Times New Roman"/>
                      <w:b/>
                      <w:sz w:val="18"/>
                      <w:szCs w:val="18"/>
                    </w:rPr>
                  </w:pPr>
                  <w:r w:rsidRPr="007E42A6">
                    <w:rPr>
                      <w:rFonts w:ascii="Times New Roman" w:eastAsia="Calibri" w:hAnsi="Times New Roman" w:cs="Times New Roman"/>
                      <w:b/>
                      <w:sz w:val="18"/>
                      <w:szCs w:val="18"/>
                    </w:rPr>
                    <w:t>№п/п</w:t>
                  </w:r>
                </w:p>
              </w:tc>
              <w:tc>
                <w:tcPr>
                  <w:tcW w:w="3402" w:type="dxa"/>
                  <w:vAlign w:val="center"/>
                </w:tcPr>
                <w:p w:rsidR="004F760A" w:rsidRPr="007E42A6" w:rsidRDefault="004F760A" w:rsidP="007E42A6">
                  <w:pPr>
                    <w:jc w:val="center"/>
                    <w:textAlignment w:val="baseline"/>
                    <w:rPr>
                      <w:rFonts w:ascii="Times New Roman" w:eastAsia="Calibri" w:hAnsi="Times New Roman" w:cs="Times New Roman"/>
                      <w:b/>
                      <w:sz w:val="18"/>
                      <w:szCs w:val="18"/>
                    </w:rPr>
                  </w:pPr>
                  <w:r w:rsidRPr="007E42A6">
                    <w:rPr>
                      <w:rFonts w:ascii="Times New Roman" w:eastAsia="Calibri" w:hAnsi="Times New Roman" w:cs="Times New Roman"/>
                      <w:b/>
                      <w:sz w:val="18"/>
                      <w:szCs w:val="18"/>
                    </w:rPr>
                    <w:t>Наименование услуги</w:t>
                  </w:r>
                </w:p>
              </w:tc>
              <w:tc>
                <w:tcPr>
                  <w:tcW w:w="2835" w:type="dxa"/>
                </w:tcPr>
                <w:p w:rsidR="004F760A" w:rsidRPr="00B30389" w:rsidRDefault="004F760A" w:rsidP="00C6170F">
                  <w:pPr>
                    <w:jc w:val="center"/>
                    <w:rPr>
                      <w:rFonts w:ascii="Times New Roman" w:eastAsia="Times New Roman" w:hAnsi="Times New Roman" w:cs="Times New Roman"/>
                      <w:b/>
                      <w:sz w:val="18"/>
                      <w:szCs w:val="18"/>
                    </w:rPr>
                  </w:pPr>
                  <w:r w:rsidRPr="00B30389">
                    <w:rPr>
                      <w:rFonts w:ascii="Times New Roman" w:eastAsia="Times New Roman" w:hAnsi="Times New Roman" w:cs="Times New Roman"/>
                      <w:b/>
                      <w:sz w:val="18"/>
                      <w:szCs w:val="18"/>
                    </w:rPr>
                    <w:t>Начальная максимальная цена за единицу услуги, без учета НДС</w:t>
                  </w:r>
                  <w:r w:rsidR="00C6170F">
                    <w:rPr>
                      <w:rFonts w:ascii="Times New Roman" w:eastAsia="Times New Roman" w:hAnsi="Times New Roman" w:cs="Times New Roman"/>
                      <w:b/>
                      <w:sz w:val="18"/>
                      <w:szCs w:val="18"/>
                    </w:rPr>
                    <w:t>,</w:t>
                  </w:r>
                  <w:r w:rsidR="00C6170F" w:rsidRPr="00B30389">
                    <w:rPr>
                      <w:rFonts w:ascii="Times New Roman" w:eastAsia="Times New Roman" w:hAnsi="Times New Roman" w:cs="Times New Roman"/>
                      <w:b/>
                      <w:sz w:val="18"/>
                      <w:szCs w:val="18"/>
                    </w:rPr>
                    <w:t xml:space="preserve"> </w:t>
                  </w:r>
                  <w:r w:rsidR="00C6170F">
                    <w:rPr>
                      <w:rFonts w:ascii="Times New Roman" w:eastAsia="Times New Roman" w:hAnsi="Times New Roman" w:cs="Times New Roman"/>
                      <w:b/>
                      <w:sz w:val="18"/>
                      <w:szCs w:val="18"/>
                    </w:rPr>
                    <w:t>(</w:t>
                  </w:r>
                  <w:r w:rsidR="00C6170F" w:rsidRPr="00B30389">
                    <w:rPr>
                      <w:rFonts w:ascii="Times New Roman" w:eastAsia="Times New Roman" w:hAnsi="Times New Roman" w:cs="Times New Roman"/>
                      <w:b/>
                      <w:sz w:val="18"/>
                      <w:szCs w:val="18"/>
                    </w:rPr>
                    <w:t>руб.</w:t>
                  </w:r>
                  <w:r w:rsidR="00C6170F">
                    <w:rPr>
                      <w:rFonts w:ascii="Times New Roman" w:eastAsia="Times New Roman" w:hAnsi="Times New Roman" w:cs="Times New Roman"/>
                      <w:b/>
                      <w:sz w:val="18"/>
                      <w:szCs w:val="18"/>
                    </w:rPr>
                    <w:t>)</w:t>
                  </w:r>
                </w:p>
              </w:tc>
              <w:tc>
                <w:tcPr>
                  <w:tcW w:w="2551" w:type="dxa"/>
                </w:tcPr>
                <w:p w:rsidR="004F760A" w:rsidRPr="00B30389" w:rsidRDefault="004F760A" w:rsidP="00C6170F">
                  <w:pPr>
                    <w:jc w:val="center"/>
                    <w:rPr>
                      <w:rFonts w:ascii="Times New Roman" w:eastAsia="Times New Roman" w:hAnsi="Times New Roman" w:cs="Times New Roman"/>
                      <w:b/>
                      <w:sz w:val="18"/>
                      <w:szCs w:val="18"/>
                    </w:rPr>
                  </w:pPr>
                  <w:r w:rsidRPr="00B30389">
                    <w:rPr>
                      <w:rFonts w:ascii="Times New Roman" w:eastAsia="Times New Roman" w:hAnsi="Times New Roman" w:cs="Times New Roman"/>
                      <w:b/>
                      <w:sz w:val="18"/>
                      <w:szCs w:val="18"/>
                    </w:rPr>
                    <w:t xml:space="preserve">Начальная максимальная цена за единицу услуги, </w:t>
                  </w:r>
                  <w:r w:rsidR="00C6170F">
                    <w:rPr>
                      <w:rFonts w:ascii="Times New Roman" w:eastAsia="Times New Roman" w:hAnsi="Times New Roman" w:cs="Times New Roman"/>
                      <w:b/>
                      <w:sz w:val="18"/>
                      <w:szCs w:val="18"/>
                    </w:rPr>
                    <w:t>в том числе</w:t>
                  </w:r>
                  <w:r w:rsidRPr="00B30389">
                    <w:rPr>
                      <w:rFonts w:ascii="Times New Roman" w:eastAsia="Times New Roman" w:hAnsi="Times New Roman" w:cs="Times New Roman"/>
                      <w:b/>
                      <w:sz w:val="18"/>
                      <w:szCs w:val="18"/>
                    </w:rPr>
                    <w:t xml:space="preserve"> НДС (</w:t>
                  </w:r>
                  <w:r w:rsidR="00995333">
                    <w:rPr>
                      <w:rFonts w:ascii="Times New Roman" w:eastAsia="Times New Roman" w:hAnsi="Times New Roman" w:cs="Times New Roman"/>
                      <w:b/>
                      <w:sz w:val="18"/>
                      <w:szCs w:val="18"/>
                    </w:rPr>
                    <w:t>20</w:t>
                  </w:r>
                  <w:r w:rsidRPr="00B30389">
                    <w:rPr>
                      <w:rFonts w:ascii="Times New Roman" w:eastAsia="Times New Roman" w:hAnsi="Times New Roman" w:cs="Times New Roman"/>
                      <w:b/>
                      <w:sz w:val="18"/>
                      <w:szCs w:val="18"/>
                    </w:rPr>
                    <w:t>%)</w:t>
                  </w:r>
                  <w:r w:rsidR="00C6170F">
                    <w:rPr>
                      <w:rFonts w:ascii="Times New Roman" w:eastAsia="Times New Roman" w:hAnsi="Times New Roman" w:cs="Times New Roman"/>
                      <w:b/>
                      <w:sz w:val="18"/>
                      <w:szCs w:val="18"/>
                    </w:rPr>
                    <w:t>,</w:t>
                  </w:r>
                  <w:r w:rsidR="00C6170F" w:rsidRPr="00B30389">
                    <w:rPr>
                      <w:rFonts w:ascii="Times New Roman" w:eastAsia="Times New Roman" w:hAnsi="Times New Roman" w:cs="Times New Roman"/>
                      <w:b/>
                      <w:sz w:val="18"/>
                      <w:szCs w:val="18"/>
                    </w:rPr>
                    <w:t xml:space="preserve"> </w:t>
                  </w:r>
                  <w:r w:rsidR="00C6170F">
                    <w:rPr>
                      <w:rFonts w:ascii="Times New Roman" w:eastAsia="Times New Roman" w:hAnsi="Times New Roman" w:cs="Times New Roman"/>
                      <w:b/>
                      <w:sz w:val="18"/>
                      <w:szCs w:val="18"/>
                    </w:rPr>
                    <w:t>(</w:t>
                  </w:r>
                  <w:r w:rsidR="00C6170F" w:rsidRPr="00B30389">
                    <w:rPr>
                      <w:rFonts w:ascii="Times New Roman" w:eastAsia="Times New Roman" w:hAnsi="Times New Roman" w:cs="Times New Roman"/>
                      <w:b/>
                      <w:sz w:val="18"/>
                      <w:szCs w:val="18"/>
                    </w:rPr>
                    <w:t>руб.</w:t>
                  </w:r>
                  <w:r w:rsidR="00C6170F">
                    <w:rPr>
                      <w:rFonts w:ascii="Times New Roman" w:eastAsia="Times New Roman" w:hAnsi="Times New Roman" w:cs="Times New Roman"/>
                      <w:b/>
                      <w:sz w:val="18"/>
                      <w:szCs w:val="18"/>
                    </w:rPr>
                    <w:t>)</w:t>
                  </w:r>
                </w:p>
              </w:tc>
              <w:tc>
                <w:tcPr>
                  <w:tcW w:w="1559" w:type="dxa"/>
                </w:tcPr>
                <w:p w:rsidR="004F760A" w:rsidRPr="00B30389" w:rsidRDefault="004F760A" w:rsidP="001B0B3B">
                  <w:pPr>
                    <w:jc w:val="center"/>
                    <w:rPr>
                      <w:rFonts w:ascii="Times New Roman" w:hAnsi="Times New Roman" w:cs="Times New Roman"/>
                      <w:b/>
                      <w:sz w:val="18"/>
                      <w:szCs w:val="18"/>
                    </w:rPr>
                  </w:pPr>
                  <w:r w:rsidRPr="00B30389">
                    <w:rPr>
                      <w:rFonts w:ascii="Times New Roman" w:hAnsi="Times New Roman" w:cs="Times New Roman"/>
                      <w:b/>
                      <w:sz w:val="18"/>
                      <w:szCs w:val="18"/>
                    </w:rPr>
                    <w:t>Максимальный балл по критерию</w:t>
                  </w:r>
                  <w:r w:rsidR="00B35FA4">
                    <w:rPr>
                      <w:rFonts w:ascii="Times New Roman" w:hAnsi="Times New Roman" w:cs="Times New Roman"/>
                      <w:b/>
                      <w:sz w:val="18"/>
                      <w:szCs w:val="18"/>
                    </w:rPr>
                    <w:t xml:space="preserve"> </w:t>
                  </w:r>
                  <w:r w:rsidR="00B35FA4" w:rsidRPr="00B35FA4">
                    <w:rPr>
                      <w:rFonts w:ascii="Times New Roman" w:hAnsi="Times New Roman" w:cs="Times New Roman"/>
                      <w:b/>
                      <w:sz w:val="18"/>
                      <w:szCs w:val="18"/>
                    </w:rPr>
                    <w:t xml:space="preserve">(по </w:t>
                  </w:r>
                  <w:r w:rsidR="00B35FA4" w:rsidRPr="00B35FA4">
                    <w:rPr>
                      <w:rFonts w:ascii="Times New Roman" w:hAnsi="Times New Roman" w:cs="Times New Roman"/>
                      <w:b/>
                      <w:sz w:val="18"/>
                      <w:szCs w:val="18"/>
                    </w:rPr>
                    <w:lastRenderedPageBreak/>
                    <w:t>позиции)</w:t>
                  </w:r>
                </w:p>
              </w:tc>
            </w:tr>
            <w:tr w:rsidR="00BC15DD" w:rsidRPr="00B30389" w:rsidTr="0047676C">
              <w:tc>
                <w:tcPr>
                  <w:tcW w:w="738" w:type="dxa"/>
                </w:tcPr>
                <w:p w:rsidR="00BC15DD" w:rsidRPr="00B30389" w:rsidRDefault="00BC15DD" w:rsidP="00BC15DD">
                  <w:pPr>
                    <w:jc w:val="both"/>
                    <w:textAlignment w:val="baseline"/>
                    <w:rPr>
                      <w:rFonts w:ascii="Times New Roman" w:eastAsia="Calibri" w:hAnsi="Times New Roman" w:cs="Times New Roman"/>
                      <w:sz w:val="18"/>
                      <w:szCs w:val="18"/>
                    </w:rPr>
                  </w:pPr>
                  <w:r w:rsidRPr="00B30389">
                    <w:rPr>
                      <w:rFonts w:ascii="Times New Roman" w:eastAsia="Calibri" w:hAnsi="Times New Roman" w:cs="Times New Roman"/>
                      <w:sz w:val="18"/>
                      <w:szCs w:val="18"/>
                    </w:rPr>
                    <w:lastRenderedPageBreak/>
                    <w:t>1</w:t>
                  </w:r>
                </w:p>
              </w:tc>
              <w:tc>
                <w:tcPr>
                  <w:tcW w:w="3402" w:type="dxa"/>
                </w:tcPr>
                <w:p w:rsidR="00BC15DD" w:rsidRPr="00B30389" w:rsidRDefault="00BC15DD" w:rsidP="00BC15DD">
                  <w:pPr>
                    <w:rPr>
                      <w:rFonts w:ascii="Times New Roman" w:hAnsi="Times New Roman" w:cs="Times New Roman"/>
                      <w:b/>
                      <w:sz w:val="18"/>
                      <w:szCs w:val="18"/>
                    </w:rPr>
                  </w:pPr>
                  <w:r w:rsidRPr="00B30389">
                    <w:rPr>
                      <w:rFonts w:ascii="Times New Roman" w:hAnsi="Times New Roman" w:cs="Times New Roman"/>
                      <w:sz w:val="18"/>
                      <w:szCs w:val="18"/>
                    </w:rPr>
                    <w:t>очистка контейнера 1,1 м</w:t>
                  </w:r>
                  <w:r w:rsidRPr="00B30389">
                    <w:rPr>
                      <w:rFonts w:ascii="Times New Roman" w:hAnsi="Times New Roman" w:cs="Times New Roman"/>
                      <w:sz w:val="18"/>
                      <w:szCs w:val="18"/>
                      <w:vertAlign w:val="superscript"/>
                    </w:rPr>
                    <w:t>3</w:t>
                  </w:r>
                  <w:r w:rsidRPr="00B30389">
                    <w:rPr>
                      <w:rFonts w:ascii="Times New Roman" w:hAnsi="Times New Roman" w:cs="Times New Roman"/>
                      <w:sz w:val="18"/>
                      <w:szCs w:val="18"/>
                    </w:rPr>
                    <w:t xml:space="preserve"> </w:t>
                  </w:r>
                </w:p>
              </w:tc>
              <w:tc>
                <w:tcPr>
                  <w:tcW w:w="2835"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660,00</w:t>
                  </w:r>
                </w:p>
              </w:tc>
              <w:tc>
                <w:tcPr>
                  <w:tcW w:w="2551"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792,00</w:t>
                  </w:r>
                </w:p>
              </w:tc>
              <w:tc>
                <w:tcPr>
                  <w:tcW w:w="1559" w:type="dxa"/>
                </w:tcPr>
                <w:p w:rsidR="00BC15DD" w:rsidRPr="00B30389" w:rsidRDefault="00BC15DD" w:rsidP="00BC15DD">
                  <w:pPr>
                    <w:jc w:val="center"/>
                    <w:rPr>
                      <w:rFonts w:ascii="Times New Roman" w:hAnsi="Times New Roman" w:cs="Times New Roman"/>
                      <w:sz w:val="18"/>
                      <w:szCs w:val="18"/>
                    </w:rPr>
                  </w:pPr>
                  <w:r w:rsidRPr="00B30389">
                    <w:rPr>
                      <w:rFonts w:ascii="Times New Roman" w:hAnsi="Times New Roman" w:cs="Times New Roman"/>
                      <w:sz w:val="18"/>
                      <w:szCs w:val="18"/>
                    </w:rPr>
                    <w:t>25</w:t>
                  </w:r>
                </w:p>
              </w:tc>
            </w:tr>
            <w:tr w:rsidR="00BC15DD" w:rsidRPr="00B30389" w:rsidTr="0047676C">
              <w:tc>
                <w:tcPr>
                  <w:tcW w:w="738" w:type="dxa"/>
                </w:tcPr>
                <w:p w:rsidR="00BC15DD" w:rsidRPr="00B30389" w:rsidRDefault="00BC15DD" w:rsidP="00BC15DD">
                  <w:pPr>
                    <w:jc w:val="both"/>
                    <w:textAlignment w:val="baseline"/>
                    <w:rPr>
                      <w:rFonts w:ascii="Times New Roman" w:eastAsia="Calibri" w:hAnsi="Times New Roman" w:cs="Times New Roman"/>
                      <w:sz w:val="18"/>
                      <w:szCs w:val="18"/>
                    </w:rPr>
                  </w:pPr>
                  <w:r w:rsidRPr="00B30389">
                    <w:rPr>
                      <w:rFonts w:ascii="Times New Roman" w:eastAsia="Calibri" w:hAnsi="Times New Roman" w:cs="Times New Roman"/>
                      <w:sz w:val="18"/>
                      <w:szCs w:val="18"/>
                    </w:rPr>
                    <w:t>2</w:t>
                  </w:r>
                </w:p>
              </w:tc>
              <w:tc>
                <w:tcPr>
                  <w:tcW w:w="3402" w:type="dxa"/>
                </w:tcPr>
                <w:p w:rsidR="00BC15DD" w:rsidRPr="00B30389" w:rsidRDefault="00BC15DD" w:rsidP="00BC15DD">
                  <w:pPr>
                    <w:rPr>
                      <w:rFonts w:ascii="Times New Roman" w:hAnsi="Times New Roman" w:cs="Times New Roman"/>
                      <w:b/>
                      <w:sz w:val="18"/>
                      <w:szCs w:val="18"/>
                    </w:rPr>
                  </w:pPr>
                  <w:r w:rsidRPr="00B30389">
                    <w:rPr>
                      <w:rFonts w:ascii="Times New Roman" w:hAnsi="Times New Roman" w:cs="Times New Roman"/>
                      <w:sz w:val="18"/>
                      <w:szCs w:val="18"/>
                    </w:rPr>
                    <w:t>вывоз бункером-накопителем 8м</w:t>
                  </w:r>
                  <w:r w:rsidRPr="00B30389">
                    <w:rPr>
                      <w:rFonts w:ascii="Times New Roman" w:hAnsi="Times New Roman" w:cs="Times New Roman"/>
                      <w:sz w:val="18"/>
                      <w:szCs w:val="18"/>
                      <w:vertAlign w:val="superscript"/>
                    </w:rPr>
                    <w:t xml:space="preserve">3 </w:t>
                  </w:r>
                  <w:r w:rsidRPr="00B30389">
                    <w:rPr>
                      <w:rFonts w:ascii="Times New Roman" w:hAnsi="Times New Roman" w:cs="Times New Roman"/>
                      <w:sz w:val="18"/>
                      <w:szCs w:val="18"/>
                    </w:rPr>
                    <w:t xml:space="preserve"> </w:t>
                  </w:r>
                </w:p>
              </w:tc>
              <w:tc>
                <w:tcPr>
                  <w:tcW w:w="2835"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13 333,33</w:t>
                  </w:r>
                </w:p>
              </w:tc>
              <w:tc>
                <w:tcPr>
                  <w:tcW w:w="2551"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16 000,00</w:t>
                  </w:r>
                </w:p>
              </w:tc>
              <w:tc>
                <w:tcPr>
                  <w:tcW w:w="1559" w:type="dxa"/>
                </w:tcPr>
                <w:p w:rsidR="00BC15DD" w:rsidRPr="00B30389" w:rsidRDefault="00BC15DD" w:rsidP="00BC15DD">
                  <w:pPr>
                    <w:jc w:val="center"/>
                    <w:rPr>
                      <w:rFonts w:ascii="Times New Roman" w:hAnsi="Times New Roman" w:cs="Times New Roman"/>
                      <w:sz w:val="18"/>
                      <w:szCs w:val="18"/>
                    </w:rPr>
                  </w:pPr>
                  <w:r w:rsidRPr="00B30389">
                    <w:rPr>
                      <w:rFonts w:ascii="Times New Roman" w:hAnsi="Times New Roman" w:cs="Times New Roman"/>
                      <w:sz w:val="18"/>
                      <w:szCs w:val="18"/>
                    </w:rPr>
                    <w:t>25</w:t>
                  </w:r>
                </w:p>
              </w:tc>
            </w:tr>
            <w:tr w:rsidR="00BC15DD" w:rsidRPr="00B30389" w:rsidTr="00685E2B">
              <w:tc>
                <w:tcPr>
                  <w:tcW w:w="738" w:type="dxa"/>
                </w:tcPr>
                <w:p w:rsidR="00BC15DD" w:rsidRPr="00B30389" w:rsidRDefault="00BC15DD" w:rsidP="00BC15DD">
                  <w:pPr>
                    <w:jc w:val="both"/>
                    <w:textAlignment w:val="baseline"/>
                    <w:rPr>
                      <w:rFonts w:ascii="Times New Roman" w:eastAsia="Calibri" w:hAnsi="Times New Roman" w:cs="Times New Roman"/>
                      <w:sz w:val="18"/>
                      <w:szCs w:val="18"/>
                    </w:rPr>
                  </w:pPr>
                  <w:r w:rsidRPr="00B30389">
                    <w:rPr>
                      <w:rFonts w:ascii="Times New Roman" w:eastAsia="Calibri" w:hAnsi="Times New Roman" w:cs="Times New Roman"/>
                      <w:sz w:val="18"/>
                      <w:szCs w:val="18"/>
                    </w:rPr>
                    <w:t>3</w:t>
                  </w:r>
                </w:p>
              </w:tc>
              <w:tc>
                <w:tcPr>
                  <w:tcW w:w="3402" w:type="dxa"/>
                </w:tcPr>
                <w:p w:rsidR="00BC15DD" w:rsidRPr="00B30389" w:rsidRDefault="00BC15DD" w:rsidP="00BC15DD">
                  <w:pPr>
                    <w:rPr>
                      <w:rFonts w:ascii="Times New Roman" w:hAnsi="Times New Roman" w:cs="Times New Roman"/>
                      <w:b/>
                      <w:sz w:val="18"/>
                      <w:szCs w:val="18"/>
                    </w:rPr>
                  </w:pPr>
                  <w:r w:rsidRPr="00B30389">
                    <w:rPr>
                      <w:rFonts w:ascii="Times New Roman" w:hAnsi="Times New Roman" w:cs="Times New Roman"/>
                      <w:sz w:val="18"/>
                      <w:szCs w:val="18"/>
                    </w:rPr>
                    <w:t>вывоз бункером-накопителем 10м</w:t>
                  </w:r>
                  <w:r w:rsidRPr="00B30389">
                    <w:rPr>
                      <w:rFonts w:ascii="Times New Roman" w:hAnsi="Times New Roman" w:cs="Times New Roman"/>
                      <w:sz w:val="18"/>
                      <w:szCs w:val="18"/>
                      <w:vertAlign w:val="superscript"/>
                    </w:rPr>
                    <w:t xml:space="preserve">3 </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rsidR="00BC15DD" w:rsidRPr="00E821C4" w:rsidRDefault="00BC15DD" w:rsidP="00BC15DD">
                  <w:pPr>
                    <w:jc w:val="center"/>
                    <w:rPr>
                      <w:rFonts w:ascii="Times New Roman" w:hAnsi="Times New Roman" w:cs="Times New Roman"/>
                      <w:sz w:val="20"/>
                      <w:szCs w:val="20"/>
                    </w:rPr>
                  </w:pPr>
                  <w:r w:rsidRPr="00E821C4">
                    <w:rPr>
                      <w:rFonts w:ascii="Times New Roman" w:hAnsi="Times New Roman" w:cs="Times New Roman"/>
                      <w:sz w:val="20"/>
                      <w:szCs w:val="20"/>
                    </w:rPr>
                    <w:t>18</w:t>
                  </w:r>
                  <w:r>
                    <w:rPr>
                      <w:rFonts w:ascii="Times New Roman" w:hAnsi="Times New Roman" w:cs="Times New Roman"/>
                      <w:sz w:val="20"/>
                      <w:szCs w:val="20"/>
                    </w:rPr>
                    <w:t xml:space="preserve"> </w:t>
                  </w:r>
                  <w:r w:rsidRPr="00E821C4">
                    <w:rPr>
                      <w:rFonts w:ascii="Times New Roman" w:hAnsi="Times New Roman" w:cs="Times New Roman"/>
                      <w:sz w:val="20"/>
                      <w:szCs w:val="20"/>
                    </w:rPr>
                    <w:t>750</w:t>
                  </w:r>
                  <w:r>
                    <w:rPr>
                      <w:rFonts w:ascii="Times New Roman" w:hAnsi="Times New Roman" w:cs="Times New Roman"/>
                      <w:sz w:val="20"/>
                      <w:szCs w:val="20"/>
                    </w:rPr>
                    <w:t>,00</w:t>
                  </w:r>
                </w:p>
              </w:tc>
              <w:tc>
                <w:tcPr>
                  <w:tcW w:w="2551" w:type="dxa"/>
                  <w:tcBorders>
                    <w:top w:val="single" w:sz="8" w:space="0" w:color="auto"/>
                    <w:left w:val="nil"/>
                    <w:bottom w:val="single" w:sz="8" w:space="0" w:color="auto"/>
                    <w:right w:val="single" w:sz="8" w:space="0" w:color="auto"/>
                  </w:tcBorders>
                  <w:shd w:val="clear" w:color="auto" w:fill="auto"/>
                  <w:vAlign w:val="center"/>
                </w:tcPr>
                <w:p w:rsidR="00BC15DD" w:rsidRPr="00E821C4" w:rsidRDefault="00BC15DD" w:rsidP="00BC15DD">
                  <w:pPr>
                    <w:jc w:val="center"/>
                    <w:rPr>
                      <w:rFonts w:ascii="Times New Roman" w:hAnsi="Times New Roman" w:cs="Times New Roman"/>
                      <w:sz w:val="20"/>
                      <w:szCs w:val="20"/>
                    </w:rPr>
                  </w:pPr>
                  <w:r w:rsidRPr="00E821C4">
                    <w:rPr>
                      <w:rFonts w:ascii="Times New Roman" w:hAnsi="Times New Roman" w:cs="Times New Roman"/>
                      <w:sz w:val="20"/>
                      <w:szCs w:val="20"/>
                    </w:rPr>
                    <w:t>22</w:t>
                  </w:r>
                  <w:r>
                    <w:rPr>
                      <w:rFonts w:ascii="Times New Roman" w:hAnsi="Times New Roman" w:cs="Times New Roman"/>
                      <w:sz w:val="20"/>
                      <w:szCs w:val="20"/>
                    </w:rPr>
                    <w:t xml:space="preserve"> </w:t>
                  </w:r>
                  <w:r w:rsidRPr="00E821C4">
                    <w:rPr>
                      <w:rFonts w:ascii="Times New Roman" w:hAnsi="Times New Roman" w:cs="Times New Roman"/>
                      <w:sz w:val="20"/>
                      <w:szCs w:val="20"/>
                    </w:rPr>
                    <w:t>500</w:t>
                  </w:r>
                  <w:r>
                    <w:rPr>
                      <w:rFonts w:ascii="Times New Roman" w:hAnsi="Times New Roman" w:cs="Times New Roman"/>
                      <w:sz w:val="20"/>
                      <w:szCs w:val="20"/>
                    </w:rPr>
                    <w:t>,00</w:t>
                  </w:r>
                </w:p>
              </w:tc>
              <w:tc>
                <w:tcPr>
                  <w:tcW w:w="1559" w:type="dxa"/>
                </w:tcPr>
                <w:p w:rsidR="00BC15DD" w:rsidRPr="00B30389" w:rsidRDefault="00BC15DD" w:rsidP="00BC15DD">
                  <w:pPr>
                    <w:jc w:val="center"/>
                    <w:rPr>
                      <w:rFonts w:ascii="Times New Roman" w:hAnsi="Times New Roman" w:cs="Times New Roman"/>
                      <w:sz w:val="18"/>
                      <w:szCs w:val="18"/>
                    </w:rPr>
                  </w:pPr>
                  <w:r w:rsidRPr="00B30389">
                    <w:rPr>
                      <w:rFonts w:ascii="Times New Roman" w:hAnsi="Times New Roman" w:cs="Times New Roman"/>
                      <w:sz w:val="18"/>
                      <w:szCs w:val="18"/>
                    </w:rPr>
                    <w:t>25</w:t>
                  </w:r>
                </w:p>
              </w:tc>
            </w:tr>
            <w:tr w:rsidR="00BC15DD" w:rsidRPr="00B30389" w:rsidTr="0047676C">
              <w:tc>
                <w:tcPr>
                  <w:tcW w:w="738" w:type="dxa"/>
                </w:tcPr>
                <w:p w:rsidR="00BC15DD" w:rsidRPr="00B30389" w:rsidRDefault="00BC15DD" w:rsidP="00BC15DD">
                  <w:pPr>
                    <w:jc w:val="both"/>
                    <w:textAlignment w:val="baseline"/>
                    <w:rPr>
                      <w:rFonts w:ascii="Times New Roman" w:eastAsia="Calibri" w:hAnsi="Times New Roman" w:cs="Times New Roman"/>
                      <w:sz w:val="18"/>
                      <w:szCs w:val="18"/>
                    </w:rPr>
                  </w:pPr>
                  <w:r w:rsidRPr="00B30389">
                    <w:rPr>
                      <w:rFonts w:ascii="Times New Roman" w:eastAsia="Calibri" w:hAnsi="Times New Roman" w:cs="Times New Roman"/>
                      <w:sz w:val="18"/>
                      <w:szCs w:val="18"/>
                    </w:rPr>
                    <w:t>4</w:t>
                  </w:r>
                </w:p>
              </w:tc>
              <w:tc>
                <w:tcPr>
                  <w:tcW w:w="3402" w:type="dxa"/>
                </w:tcPr>
                <w:p w:rsidR="00BC15DD" w:rsidRPr="00B30389" w:rsidRDefault="00BC15DD" w:rsidP="00BC15DD">
                  <w:pPr>
                    <w:rPr>
                      <w:rFonts w:ascii="Times New Roman" w:hAnsi="Times New Roman" w:cs="Times New Roman"/>
                      <w:b/>
                      <w:sz w:val="18"/>
                      <w:szCs w:val="18"/>
                    </w:rPr>
                  </w:pPr>
                  <w:r w:rsidRPr="00B30389">
                    <w:rPr>
                      <w:rFonts w:ascii="Times New Roman" w:hAnsi="Times New Roman" w:cs="Times New Roman"/>
                      <w:sz w:val="18"/>
                      <w:szCs w:val="18"/>
                    </w:rPr>
                    <w:t>вывоз бункером-накопителем 27м</w:t>
                  </w:r>
                  <w:r w:rsidRPr="00B30389">
                    <w:rPr>
                      <w:rFonts w:ascii="Times New Roman" w:hAnsi="Times New Roman" w:cs="Times New Roman"/>
                      <w:sz w:val="18"/>
                      <w:szCs w:val="18"/>
                      <w:vertAlign w:val="superscript"/>
                    </w:rPr>
                    <w:t xml:space="preserve">3 </w:t>
                  </w:r>
                </w:p>
              </w:tc>
              <w:tc>
                <w:tcPr>
                  <w:tcW w:w="2835"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33 750,00</w:t>
                  </w:r>
                </w:p>
              </w:tc>
              <w:tc>
                <w:tcPr>
                  <w:tcW w:w="2551" w:type="dxa"/>
                </w:tcPr>
                <w:p w:rsidR="00BC15DD" w:rsidRPr="00227AC2" w:rsidRDefault="00BC15DD" w:rsidP="00BC15DD">
                  <w:pPr>
                    <w:jc w:val="center"/>
                    <w:rPr>
                      <w:rFonts w:ascii="Times New Roman" w:hAnsi="Times New Roman" w:cs="Times New Roman"/>
                      <w:sz w:val="20"/>
                      <w:szCs w:val="20"/>
                    </w:rPr>
                  </w:pPr>
                  <w:r>
                    <w:rPr>
                      <w:rFonts w:ascii="Times New Roman" w:hAnsi="Times New Roman" w:cs="Times New Roman"/>
                      <w:sz w:val="20"/>
                      <w:szCs w:val="20"/>
                    </w:rPr>
                    <w:t>40 500,00</w:t>
                  </w:r>
                </w:p>
              </w:tc>
              <w:tc>
                <w:tcPr>
                  <w:tcW w:w="1559" w:type="dxa"/>
                </w:tcPr>
                <w:p w:rsidR="00BC15DD" w:rsidRPr="00B30389" w:rsidRDefault="00BC15DD" w:rsidP="00BC15DD">
                  <w:pPr>
                    <w:jc w:val="center"/>
                    <w:rPr>
                      <w:rFonts w:ascii="Times New Roman" w:hAnsi="Times New Roman" w:cs="Times New Roman"/>
                      <w:sz w:val="18"/>
                      <w:szCs w:val="18"/>
                    </w:rPr>
                  </w:pPr>
                  <w:r w:rsidRPr="00B30389">
                    <w:rPr>
                      <w:rFonts w:ascii="Times New Roman" w:hAnsi="Times New Roman" w:cs="Times New Roman"/>
                      <w:sz w:val="18"/>
                      <w:szCs w:val="18"/>
                    </w:rPr>
                    <w:t>25</w:t>
                  </w:r>
                </w:p>
              </w:tc>
            </w:tr>
            <w:tr w:rsidR="008D2785" w:rsidRPr="00B30389" w:rsidTr="008E6F16">
              <w:tc>
                <w:tcPr>
                  <w:tcW w:w="9526" w:type="dxa"/>
                  <w:gridSpan w:val="4"/>
                </w:tcPr>
                <w:p w:rsidR="008D2785" w:rsidRPr="006D7B59" w:rsidRDefault="008D2785" w:rsidP="008D2785">
                  <w:pPr>
                    <w:rPr>
                      <w:rFonts w:ascii="Times New Roman" w:hAnsi="Times New Roman" w:cs="Times New Roman"/>
                      <w:sz w:val="18"/>
                      <w:szCs w:val="18"/>
                    </w:rPr>
                  </w:pPr>
                  <w:r>
                    <w:rPr>
                      <w:rFonts w:ascii="Times New Roman" w:hAnsi="Times New Roman" w:cs="Times New Roman"/>
                      <w:sz w:val="18"/>
                      <w:szCs w:val="18"/>
                    </w:rPr>
                    <w:t>ИТОГО</w:t>
                  </w:r>
                </w:p>
              </w:tc>
              <w:tc>
                <w:tcPr>
                  <w:tcW w:w="1559" w:type="dxa"/>
                </w:tcPr>
                <w:p w:rsidR="008D2785" w:rsidRPr="003E0976" w:rsidRDefault="008D2785" w:rsidP="0007391B">
                  <w:pPr>
                    <w:jc w:val="center"/>
                    <w:rPr>
                      <w:rFonts w:ascii="Times New Roman" w:hAnsi="Times New Roman" w:cs="Times New Roman"/>
                      <w:sz w:val="18"/>
                      <w:szCs w:val="18"/>
                    </w:rPr>
                  </w:pPr>
                  <w:r w:rsidRPr="003E0976">
                    <w:rPr>
                      <w:rFonts w:ascii="Times New Roman" w:eastAsia="Times New Roman" w:hAnsi="Times New Roman"/>
                      <w:sz w:val="18"/>
                      <w:szCs w:val="18"/>
                    </w:rPr>
                    <w:t>100 баллов</w:t>
                  </w:r>
                </w:p>
              </w:tc>
            </w:tr>
          </w:tbl>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1D511C">
              <w:rPr>
                <w:rFonts w:ascii="Times New Roman" w:hAnsi="Times New Roman" w:cs="Times New Roman"/>
                <w:sz w:val="24"/>
                <w:szCs w:val="24"/>
              </w:rPr>
              <w:t>40% (100 баллов)</w:t>
            </w:r>
            <w:r w:rsidRPr="00104B39">
              <w:rPr>
                <w:rFonts w:ascii="Times New Roman" w:hAnsi="Times New Roman" w:cs="Times New Roman"/>
                <w:sz w:val="24"/>
                <w:szCs w:val="24"/>
              </w:rPr>
              <w:t>:</w:t>
            </w:r>
          </w:p>
          <w:p w:rsidR="001D511C" w:rsidRPr="001D511C" w:rsidRDefault="001D511C" w:rsidP="001D511C">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D511C">
              <w:rPr>
                <w:rFonts w:ascii="Times New Roman" w:hAnsi="Times New Roman" w:cs="Times New Roman"/>
                <w:sz w:val="24"/>
                <w:szCs w:val="24"/>
              </w:rPr>
              <w:t xml:space="preserve">Наличие у участника закупки опыта предоставления услуг аналогичных предмету закупки. 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 иные документы, подтверждающие стоимость оказанных услуг.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сроки оказания услуг, реквизиты заказчиков и подрядчиков (исполнителей), их подписи и печати. </w:t>
            </w:r>
          </w:p>
          <w:p w:rsidR="001D511C" w:rsidRPr="001D511C" w:rsidRDefault="001D511C" w:rsidP="001D511C">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D511C">
              <w:rPr>
                <w:rFonts w:ascii="Times New Roman" w:hAnsi="Times New Roman" w:cs="Times New Roman"/>
                <w:b/>
                <w:sz w:val="24"/>
                <w:szCs w:val="24"/>
              </w:rPr>
              <w:t>Максимальное значение баллов по критерию – 100 баллов</w:t>
            </w:r>
            <w:r w:rsidRPr="001D511C">
              <w:rPr>
                <w:rFonts w:ascii="Times New Roman" w:hAnsi="Times New Roman" w:cs="Times New Roman"/>
                <w:sz w:val="24"/>
                <w:szCs w:val="24"/>
              </w:rPr>
              <w:t>.</w:t>
            </w:r>
          </w:p>
          <w:p w:rsidR="000017E2" w:rsidRPr="001D511C" w:rsidRDefault="001D511C"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1D511C">
              <w:rPr>
                <w:rFonts w:ascii="Times New Roman" w:hAnsi="Times New Roman" w:cs="Times New Roman"/>
                <w:i/>
                <w:sz w:val="24"/>
                <w:szCs w:val="24"/>
              </w:rPr>
              <w:t>Не предоставление документов, подтверждающих квалификацию участника по критерию в полном объеме влечет за собой присуждение 0 баллов по данному критерию.</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20CDB">
              <w:rPr>
                <w:rFonts w:ascii="Times New Roman" w:hAnsi="Times New Roman" w:cs="Times New Roman"/>
                <w:b/>
                <w:sz w:val="24"/>
                <w:szCs w:val="24"/>
              </w:rPr>
              <w:t>2</w:t>
            </w:r>
            <w:r w:rsidR="00B45DFE">
              <w:rPr>
                <w:rFonts w:ascii="Times New Roman" w:hAnsi="Times New Roman" w:cs="Times New Roman"/>
                <w:b/>
                <w:sz w:val="24"/>
                <w:szCs w:val="24"/>
              </w:rPr>
              <w:t>7</w:t>
            </w:r>
            <w:r w:rsidRPr="00104B39">
              <w:rPr>
                <w:rFonts w:ascii="Times New Roman" w:hAnsi="Times New Roman" w:cs="Times New Roman"/>
                <w:b/>
                <w:sz w:val="24"/>
                <w:szCs w:val="24"/>
              </w:rPr>
              <w:t xml:space="preserve">» </w:t>
            </w:r>
            <w:r w:rsidR="00B45DFE">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B45D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920CDB">
              <w:rPr>
                <w:rFonts w:ascii="Times New Roman" w:hAnsi="Times New Roman" w:cs="Times New Roman"/>
                <w:b/>
                <w:sz w:val="24"/>
                <w:szCs w:val="24"/>
              </w:rPr>
              <w:t>2</w:t>
            </w:r>
            <w:r w:rsidR="00B45DFE">
              <w:rPr>
                <w:rFonts w:ascii="Times New Roman" w:hAnsi="Times New Roman" w:cs="Times New Roman"/>
                <w:b/>
                <w:sz w:val="24"/>
                <w:szCs w:val="24"/>
              </w:rPr>
              <w:t>8</w:t>
            </w:r>
            <w:r w:rsidRPr="00104B39">
              <w:rPr>
                <w:rFonts w:ascii="Times New Roman" w:hAnsi="Times New Roman" w:cs="Times New Roman"/>
                <w:b/>
                <w:sz w:val="24"/>
                <w:szCs w:val="24"/>
              </w:rPr>
              <w:t xml:space="preserve">» </w:t>
            </w:r>
            <w:r w:rsidR="00B45DFE">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B45DFE">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lastRenderedPageBreak/>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E27" w:rsidRDefault="00281E27" w:rsidP="0097081F">
      <w:pPr>
        <w:spacing w:after="0" w:line="240" w:lineRule="auto"/>
      </w:pPr>
      <w:r>
        <w:separator/>
      </w:r>
    </w:p>
  </w:endnote>
  <w:endnote w:type="continuationSeparator" w:id="0">
    <w:p w:rsidR="00281E27" w:rsidRDefault="00281E2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AB0D90">
          <w:rPr>
            <w:noProof/>
          </w:rPr>
          <w:t>2</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E27" w:rsidRDefault="00281E27" w:rsidP="0097081F">
      <w:pPr>
        <w:spacing w:after="0" w:line="240" w:lineRule="auto"/>
      </w:pPr>
      <w:r>
        <w:separator/>
      </w:r>
    </w:p>
  </w:footnote>
  <w:footnote w:type="continuationSeparator" w:id="0">
    <w:p w:rsidR="00281E27" w:rsidRDefault="00281E27"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4826"/>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86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1E27"/>
    <w:rsid w:val="0028298B"/>
    <w:rsid w:val="00284679"/>
    <w:rsid w:val="002847E8"/>
    <w:rsid w:val="002851E1"/>
    <w:rsid w:val="002862A3"/>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A97"/>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0A7"/>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9B3"/>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5AE5"/>
    <w:rsid w:val="003F6009"/>
    <w:rsid w:val="003F756C"/>
    <w:rsid w:val="004014AE"/>
    <w:rsid w:val="00404B6C"/>
    <w:rsid w:val="0040591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1F6E"/>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0B7"/>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38B"/>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3FA"/>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A4B"/>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90D"/>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8A0"/>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5333"/>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0ED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0D90"/>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5DFE"/>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70D"/>
    <w:rsid w:val="00B67887"/>
    <w:rsid w:val="00B72005"/>
    <w:rsid w:val="00B728D2"/>
    <w:rsid w:val="00B72C75"/>
    <w:rsid w:val="00B72D3D"/>
    <w:rsid w:val="00B756A6"/>
    <w:rsid w:val="00B75972"/>
    <w:rsid w:val="00B75A5F"/>
    <w:rsid w:val="00B75E1F"/>
    <w:rsid w:val="00B804C4"/>
    <w:rsid w:val="00B81C69"/>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5DD"/>
    <w:rsid w:val="00BC1D3F"/>
    <w:rsid w:val="00BC1DB1"/>
    <w:rsid w:val="00BC269F"/>
    <w:rsid w:val="00BC3399"/>
    <w:rsid w:val="00BC3523"/>
    <w:rsid w:val="00BC36BC"/>
    <w:rsid w:val="00BC576E"/>
    <w:rsid w:val="00BC6854"/>
    <w:rsid w:val="00BD0027"/>
    <w:rsid w:val="00BD1C44"/>
    <w:rsid w:val="00BD3F6D"/>
    <w:rsid w:val="00BD4262"/>
    <w:rsid w:val="00BD43B6"/>
    <w:rsid w:val="00BD48F9"/>
    <w:rsid w:val="00BD5547"/>
    <w:rsid w:val="00BD6318"/>
    <w:rsid w:val="00BE0C84"/>
    <w:rsid w:val="00BE1AD1"/>
    <w:rsid w:val="00BE3334"/>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A65"/>
    <w:rsid w:val="00C55C65"/>
    <w:rsid w:val="00C55CE8"/>
    <w:rsid w:val="00C56A0E"/>
    <w:rsid w:val="00C56C19"/>
    <w:rsid w:val="00C6170F"/>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493"/>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C7B0F"/>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1E9E"/>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314"/>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63752"/>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4CF2"/>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8253C-091F-4438-B362-FEADD66F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3045</Words>
  <Characters>17357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94</cp:revision>
  <cp:lastPrinted>2017-03-23T12:17:00Z</cp:lastPrinted>
  <dcterms:created xsi:type="dcterms:W3CDTF">2017-10-11T07:28:00Z</dcterms:created>
  <dcterms:modified xsi:type="dcterms:W3CDTF">2018-11-14T14:14:00Z</dcterms:modified>
</cp:coreProperties>
</file>