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D21707" w:rsidRPr="00D21707">
              <w:rPr>
                <w:rFonts w:ascii="Times New Roman" w:hAnsi="Times New Roman" w:cs="Times New Roman"/>
                <w:sz w:val="24"/>
                <w:szCs w:val="24"/>
              </w:rPr>
              <w:t>kpresort.ru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3FB9" w:rsidRPr="00104B39" w:rsidRDefault="00683F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02A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1864F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F02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F2EE6" w:rsidRDefault="00DD5FE1" w:rsidP="00247B75">
            <w:pPr>
              <w:pStyle w:val="31"/>
              <w:shd w:val="clear" w:color="auto" w:fill="FFFFFF"/>
              <w:rPr>
                <w:szCs w:val="24"/>
                <w:lang w:eastAsia="ar-SA"/>
              </w:rPr>
            </w:pPr>
            <w:r w:rsidRPr="001F2EE6">
              <w:rPr>
                <w:szCs w:val="24"/>
              </w:rPr>
              <w:t>«</w:t>
            </w:r>
            <w:r w:rsidR="001F2EE6" w:rsidRPr="001F2EE6">
              <w:rPr>
                <w:szCs w:val="24"/>
              </w:rPr>
              <w:t>Оказание услуг по уборке помещений, зданий, сооружений, территории, уходу за зелеными насаждениями курорта «Красная поляна</w:t>
            </w:r>
            <w:r w:rsidRPr="001F2EE6">
              <w:rPr>
                <w:szCs w:val="24"/>
              </w:rPr>
              <w:t>»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0F1DA3" w:rsidRDefault="0091522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91522F">
              <w:rPr>
                <w:szCs w:val="24"/>
              </w:rPr>
              <w:t xml:space="preserve">354392 </w:t>
            </w:r>
            <w:r w:rsidR="000B7AC3" w:rsidRPr="000B7AC3">
              <w:rPr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="000B7AC3" w:rsidRPr="000B7AC3">
              <w:rPr>
                <w:szCs w:val="24"/>
              </w:rPr>
              <w:t>Эсто</w:t>
            </w:r>
            <w:proofErr w:type="spellEnd"/>
            <w:r w:rsidR="000B7AC3" w:rsidRPr="000B7AC3">
              <w:rPr>
                <w:szCs w:val="24"/>
              </w:rPr>
              <w:t xml:space="preserve">-Садок, северный склон хребта </w:t>
            </w:r>
            <w:proofErr w:type="spellStart"/>
            <w:r w:rsidR="000B7AC3" w:rsidRPr="000B7AC3">
              <w:rPr>
                <w:szCs w:val="24"/>
              </w:rPr>
              <w:t>Аибга</w:t>
            </w:r>
            <w:proofErr w:type="spellEnd"/>
            <w:r w:rsidR="000B7AC3" w:rsidRPr="000B7AC3">
              <w:rPr>
                <w:szCs w:val="24"/>
              </w:rPr>
              <w:t xml:space="preserve">, курорт Красная поляна, </w:t>
            </w:r>
            <w:proofErr w:type="spellStart"/>
            <w:r w:rsidR="000B7AC3" w:rsidRPr="000B7AC3">
              <w:rPr>
                <w:szCs w:val="24"/>
              </w:rPr>
              <w:t>отм</w:t>
            </w:r>
            <w:proofErr w:type="spellEnd"/>
            <w:r w:rsidR="000B7AC3" w:rsidRPr="000B7AC3">
              <w:rPr>
                <w:szCs w:val="24"/>
              </w:rPr>
              <w:t xml:space="preserve">. +540 м., </w:t>
            </w:r>
            <w:proofErr w:type="spellStart"/>
            <w:r w:rsidR="000B7AC3" w:rsidRPr="000B7AC3">
              <w:rPr>
                <w:szCs w:val="24"/>
              </w:rPr>
              <w:t>отм</w:t>
            </w:r>
            <w:proofErr w:type="spellEnd"/>
            <w:r w:rsidR="000B7AC3" w:rsidRPr="000B7AC3">
              <w:rPr>
                <w:szCs w:val="24"/>
              </w:rPr>
              <w:t>. +960 м.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40E13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еприостановление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1 части 3 тендерной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документации))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824AF" w:rsidRPr="00A26692" w:rsidRDefault="00C824AF" w:rsidP="00E772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E2590" w:rsidRDefault="00A26692" w:rsidP="00C824A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C824AF" w:rsidRPr="002E2590">
              <w:rPr>
                <w:szCs w:val="24"/>
              </w:rPr>
              <w:t xml:space="preserve">) </w:t>
            </w:r>
            <w:r w:rsidR="00C824AF">
              <w:rPr>
                <w:szCs w:val="24"/>
              </w:rPr>
              <w:t>о</w:t>
            </w:r>
            <w:r w:rsidR="00C824AF" w:rsidRPr="00F62743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</w:t>
            </w:r>
            <w:r w:rsidR="00C824AF">
              <w:rPr>
                <w:szCs w:val="24"/>
              </w:rPr>
              <w:t xml:space="preserve"> </w:t>
            </w:r>
            <w:r w:rsidR="00C824AF" w:rsidRPr="00B67466">
              <w:rPr>
                <w:i/>
                <w:szCs w:val="24"/>
              </w:rPr>
              <w:t>(при необходимости)</w:t>
            </w:r>
            <w:r w:rsidR="00C824AF">
              <w:rPr>
                <w:szCs w:val="24"/>
              </w:rPr>
              <w:t xml:space="preserve">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 w:rsidR="00C824AF"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A26692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C824AF" w:rsidRPr="002E2590">
              <w:rPr>
                <w:szCs w:val="24"/>
              </w:rPr>
              <w:t>)</w:t>
            </w:r>
            <w:r w:rsidR="00C824AF" w:rsidRPr="002E2590">
              <w:rPr>
                <w:i/>
                <w:szCs w:val="24"/>
              </w:rPr>
              <w:t xml:space="preserve"> </w:t>
            </w:r>
            <w:r w:rsidR="00C824AF" w:rsidRPr="00F6274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 w:rsidR="00C824AF"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A26692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C824AF" w:rsidRPr="002E2590">
              <w:rPr>
                <w:szCs w:val="24"/>
              </w:rPr>
              <w:t>)</w:t>
            </w:r>
            <w:r w:rsidR="00C824AF" w:rsidRPr="002E2590">
              <w:rPr>
                <w:i/>
                <w:szCs w:val="24"/>
              </w:rPr>
              <w:t xml:space="preserve"> </w:t>
            </w:r>
            <w:r w:rsidR="00C824AF" w:rsidRPr="00F6274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C824AF" w:rsidRPr="00F62743">
              <w:rPr>
                <w:szCs w:val="24"/>
              </w:rPr>
              <w:t>претензионно</w:t>
            </w:r>
            <w:proofErr w:type="spellEnd"/>
            <w:r w:rsidR="00C824AF" w:rsidRPr="00F6274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C824AF">
              <w:rPr>
                <w:szCs w:val="24"/>
              </w:rPr>
              <w:t xml:space="preserve">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 w:rsidR="00C824AF">
              <w:rPr>
                <w:i/>
                <w:szCs w:val="24"/>
              </w:rPr>
              <w:t>;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5785" w:rsidRPr="00D85785" w:rsidRDefault="00A26692" w:rsidP="00D85785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FC6DFE" w:rsidRPr="00B674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C6DFE" w:rsidRPr="00B67466">
              <w:t xml:space="preserve"> </w:t>
            </w:r>
            <w:r w:rsidRPr="00A266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C6DFE"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аличие </w:t>
            </w:r>
            <w:r w:rsidR="00D85785" w:rsidRPr="00D85785">
              <w:rPr>
                <w:rFonts w:ascii="Times New Roman" w:hAnsi="Times New Roman" w:cs="Times New Roman"/>
                <w:sz w:val="24"/>
                <w:szCs w:val="24"/>
              </w:rPr>
              <w:t xml:space="preserve">у участника закупки в собственности или на ином законном основании специальной техники для оказания услуг, являющихся предметом закупки, согласно перечня: </w:t>
            </w:r>
          </w:p>
          <w:p w:rsidR="00D85785" w:rsidRPr="00D85785" w:rsidRDefault="00D85785" w:rsidP="00D85785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78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Pr="00D85785">
              <w:rPr>
                <w:rFonts w:ascii="Times New Roman" w:hAnsi="Times New Roman" w:cs="Times New Roman"/>
                <w:sz w:val="24"/>
                <w:szCs w:val="24"/>
              </w:rPr>
              <w:tab/>
              <w:t>КДМ – 3 единицы;</w:t>
            </w:r>
          </w:p>
          <w:p w:rsidR="00D85785" w:rsidRPr="00D85785" w:rsidRDefault="00D85785" w:rsidP="00D85785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7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b)</w:t>
            </w:r>
            <w:r w:rsidRPr="00D8578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D85785">
              <w:rPr>
                <w:rFonts w:ascii="Times New Roman" w:hAnsi="Times New Roman" w:cs="Times New Roman"/>
                <w:sz w:val="24"/>
                <w:szCs w:val="24"/>
              </w:rPr>
              <w:t>Минипогрузчик</w:t>
            </w:r>
            <w:proofErr w:type="spellEnd"/>
            <w:r w:rsidRPr="00D85785">
              <w:rPr>
                <w:rFonts w:ascii="Times New Roman" w:hAnsi="Times New Roman" w:cs="Times New Roman"/>
                <w:sz w:val="24"/>
                <w:szCs w:val="24"/>
              </w:rPr>
              <w:t xml:space="preserve"> – 6 единиц;</w:t>
            </w:r>
          </w:p>
          <w:p w:rsidR="00D85785" w:rsidRPr="00D85785" w:rsidRDefault="00D85785" w:rsidP="00D85785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78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  <w:r w:rsidRPr="00D85785">
              <w:rPr>
                <w:rFonts w:ascii="Times New Roman" w:hAnsi="Times New Roman" w:cs="Times New Roman"/>
                <w:sz w:val="24"/>
                <w:szCs w:val="24"/>
              </w:rPr>
              <w:tab/>
              <w:t>Вакуумная подметально-уборочная машина – 2 единицы;</w:t>
            </w:r>
          </w:p>
          <w:p w:rsidR="00D85785" w:rsidRPr="00D85785" w:rsidRDefault="00D85785" w:rsidP="00D85785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78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  <w:r w:rsidRPr="00D85785">
              <w:rPr>
                <w:rFonts w:ascii="Times New Roman" w:hAnsi="Times New Roman" w:cs="Times New Roman"/>
                <w:sz w:val="24"/>
                <w:szCs w:val="24"/>
              </w:rPr>
              <w:tab/>
              <w:t>Поломоечная машина – 1 единица;</w:t>
            </w:r>
          </w:p>
          <w:p w:rsidR="00D85785" w:rsidRDefault="00D85785" w:rsidP="00D85785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785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  <w:r w:rsidRPr="00D85785">
              <w:rPr>
                <w:rFonts w:ascii="Times New Roman" w:hAnsi="Times New Roman" w:cs="Times New Roman"/>
                <w:sz w:val="24"/>
                <w:szCs w:val="24"/>
              </w:rPr>
              <w:tab/>
              <w:t>Автовышка – 1 единица.</w:t>
            </w:r>
          </w:p>
          <w:p w:rsidR="00FC6DFE" w:rsidRPr="00C36D31" w:rsidRDefault="00D85785" w:rsidP="00D85785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D31">
              <w:rPr>
                <w:rFonts w:ascii="Times New Roman" w:hAnsi="Times New Roman" w:cs="Times New Roman"/>
                <w:i/>
                <w:sz w:val="24"/>
                <w:szCs w:val="24"/>
              </w:rPr>
              <w:t>(с приложением копий подтверждающих документов (паспортов транспортных средств/договоров лизинга/договоров аренды/ товарных накладных и т.д.))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85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885B17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5B17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документации).</w:t>
            </w:r>
          </w:p>
        </w:tc>
      </w:tr>
      <w:tr w:rsidR="001C4B15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B15" w:rsidRPr="00104B39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885B17" w:rsidRPr="00104B39" w:rsidTr="005F723E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17" w:rsidRPr="00104B39" w:rsidRDefault="00885B17" w:rsidP="00885B1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17" w:rsidRPr="00104B39" w:rsidRDefault="00885B17" w:rsidP="00885B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B17" w:rsidRPr="00104B39" w:rsidRDefault="00885B17" w:rsidP="00885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D9" w:rsidRPr="00703C0D" w:rsidRDefault="006A3793" w:rsidP="0049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793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A3793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3793">
              <w:rPr>
                <w:rFonts w:ascii="Times New Roman" w:hAnsi="Times New Roman" w:cs="Times New Roman"/>
                <w:b/>
                <w:sz w:val="24"/>
                <w:szCs w:val="24"/>
              </w:rPr>
              <w:t>770,68</w:t>
            </w:r>
            <w:r w:rsidR="00491F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3793">
              <w:rPr>
                <w:rFonts w:ascii="Times New Roman" w:hAnsi="Times New Roman" w:cs="Times New Roman"/>
                <w:sz w:val="24"/>
                <w:szCs w:val="24"/>
              </w:rPr>
              <w:t>осемьдесят миллионов двести шестнадцать тысяч семьсот семьдесят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A3793">
              <w:rPr>
                <w:rFonts w:ascii="Times New Roman" w:hAnsi="Times New Roman" w:cs="Times New Roman"/>
                <w:sz w:val="24"/>
                <w:szCs w:val="24"/>
              </w:rPr>
              <w:t xml:space="preserve"> рублей 68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7D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70F5" w:rsidRPr="003A70F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3A70F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3A70F5" w:rsidRPr="003A70F5">
              <w:rPr>
                <w:rFonts w:ascii="Times New Roman" w:hAnsi="Times New Roman" w:cs="Times New Roman"/>
                <w:b/>
                <w:sz w:val="24"/>
                <w:szCs w:val="24"/>
              </w:rPr>
              <w:t>369</w:t>
            </w:r>
            <w:r w:rsidR="003A70F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3A70F5" w:rsidRPr="003A70F5">
              <w:rPr>
                <w:rFonts w:ascii="Times New Roman" w:hAnsi="Times New Roman" w:cs="Times New Roman"/>
                <w:b/>
                <w:sz w:val="24"/>
                <w:szCs w:val="24"/>
              </w:rPr>
              <w:t>461</w:t>
            </w:r>
            <w:r w:rsidR="003A70F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A70F5" w:rsidRPr="003A70F5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A70F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A70F5" w:rsidRPr="003A70F5">
              <w:rPr>
                <w:rFonts w:ascii="Times New Roman" w:hAnsi="Times New Roman" w:cs="Times New Roman"/>
                <w:sz w:val="24"/>
                <w:szCs w:val="24"/>
              </w:rPr>
              <w:t>ринадцать миллионов триста шестьдесят девять тысяч четыреста шестьдесят один</w:t>
            </w:r>
            <w:r w:rsidR="003A70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A70F5" w:rsidRPr="003A70F5">
              <w:rPr>
                <w:rFonts w:ascii="Times New Roman" w:hAnsi="Times New Roman" w:cs="Times New Roman"/>
                <w:sz w:val="24"/>
                <w:szCs w:val="24"/>
              </w:rPr>
              <w:t xml:space="preserve"> рубль 78 копеек</w:t>
            </w:r>
            <w:r w:rsidR="003A70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01A0" w:rsidRPr="00491FD9" w:rsidRDefault="003A70F5" w:rsidP="00C92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A70F5">
              <w:rPr>
                <w:rFonts w:ascii="Times New Roman" w:hAnsi="Times New Roman" w:cs="Times New Roman"/>
                <w:b/>
                <w:sz w:val="24"/>
                <w:szCs w:val="24"/>
              </w:rPr>
              <w:t>847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A70F5">
              <w:rPr>
                <w:rFonts w:ascii="Times New Roman" w:hAnsi="Times New Roman" w:cs="Times New Roman"/>
                <w:b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3A70F5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естьдесят шесть миллионов восемьсот сорок семь тысяч триста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 xml:space="preserve"> рублей 90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491FD9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91FD9" w:rsidRPr="00703C0D">
              <w:rPr>
                <w:sz w:val="20"/>
                <w:szCs w:val="20"/>
              </w:rPr>
              <w:t>).</w:t>
            </w:r>
            <w:r w:rsidR="00F901A9" w:rsidRPr="00B67466">
              <w:rPr>
                <w:rFonts w:ascii="Times New Roman" w:eastAsia="Times New Roman" w:hAnsi="Times New Roman" w:cs="Times New Roman"/>
              </w:rPr>
              <w:t xml:space="preserve"> </w:t>
            </w:r>
            <w:r w:rsidR="00F901A9" w:rsidRPr="007E4408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</w:t>
            </w:r>
            <w:r w:rsidR="00C92E8B" w:rsidRPr="007E4408">
              <w:rPr>
                <w:rFonts w:ascii="Times New Roman" w:hAnsi="Times New Roman" w:cs="Times New Roman"/>
                <w:sz w:val="24"/>
                <w:szCs w:val="24"/>
              </w:rPr>
              <w:t>все накладные расходы Исполнителя, в том числе расходы на доставку, погрузку, разгрузку расходных материалов, перевозку, страхование, уплату таможенных пошлин, налогов и других обязательных платежей, связанных с выполнением условий Договора.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Валюта, используемая для формирования цены договора и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801AE">
              <w:t>Установлен п. 3.5. «</w:t>
            </w:r>
            <w:r w:rsidR="00E62F7C" w:rsidRPr="00F801AE">
              <w:t>Сведения, содержащиеся в заявке участника закупки и документы, входящие в состав 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  <w:p w:rsidR="001A6079" w:rsidRPr="00F801AE" w:rsidRDefault="001A6079" w:rsidP="001D7B13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1D7B13">
              <w:rPr>
                <w:b/>
                <w:color w:val="FF0000"/>
              </w:rPr>
              <w:t>В составе заявки участнику закупки также необходимо предоставить расчет</w:t>
            </w:r>
            <w:r w:rsidR="001D7B13" w:rsidRPr="001D7B13">
              <w:rPr>
                <w:b/>
                <w:color w:val="FF0000"/>
              </w:rPr>
              <w:t xml:space="preserve"> стоимости услуг</w:t>
            </w:r>
            <w:r w:rsidRPr="001D7B13">
              <w:rPr>
                <w:b/>
                <w:color w:val="FF0000"/>
              </w:rPr>
              <w:t xml:space="preserve">, составленный в соответствии с </w:t>
            </w:r>
            <w:r w:rsidR="001D7B13" w:rsidRPr="001D7B13">
              <w:rPr>
                <w:b/>
                <w:color w:val="FF0000"/>
              </w:rPr>
              <w:t xml:space="preserve">формой 5  </w:t>
            </w:r>
            <w:r w:rsidRPr="001D7B13">
              <w:rPr>
                <w:b/>
                <w:color w:val="FF0000"/>
              </w:rPr>
              <w:t>ч</w:t>
            </w:r>
            <w:r w:rsidR="001D7B13" w:rsidRPr="001D7B13">
              <w:rPr>
                <w:b/>
                <w:color w:val="FF0000"/>
              </w:rPr>
              <w:t>асти</w:t>
            </w:r>
            <w:r w:rsidRPr="001D7B13">
              <w:rPr>
                <w:b/>
                <w:color w:val="FF0000"/>
              </w:rPr>
              <w:t xml:space="preserve"> </w:t>
            </w:r>
            <w:r w:rsidR="001D7B13" w:rsidRPr="001D7B13">
              <w:rPr>
                <w:b/>
                <w:color w:val="FF0000"/>
              </w:rPr>
              <w:t>3</w:t>
            </w:r>
            <w:r w:rsidRPr="001D7B13">
              <w:rPr>
                <w:b/>
                <w:color w:val="FF0000"/>
              </w:rPr>
              <w:t xml:space="preserve"> Тендерной документации «</w:t>
            </w:r>
            <w:r w:rsidR="001D7B13" w:rsidRPr="001D7B13">
              <w:rPr>
                <w:b/>
                <w:color w:val="FF0000"/>
              </w:rPr>
              <w:t>Формы для заполнения участниками тендера</w:t>
            </w:r>
            <w:r w:rsidRPr="001D7B13">
              <w:rPr>
                <w:b/>
                <w:color w:val="FF0000"/>
              </w:rPr>
              <w:t>».</w:t>
            </w:r>
            <w:r w:rsidR="001D7B13">
              <w:t xml:space="preserve"> </w:t>
            </w:r>
          </w:p>
        </w:tc>
      </w:tr>
      <w:tr w:rsidR="005A761A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A" w:rsidRPr="00104B39" w:rsidRDefault="005A761A" w:rsidP="005A761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104B39" w:rsidRDefault="005A761A" w:rsidP="005A76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673F" w:rsidRDefault="005A761A" w:rsidP="00CB6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заявки</w:t>
            </w:r>
            <w:r w:rsidR="00B55D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участие в закупке в размере </w:t>
            </w:r>
            <w:r w:rsidRPr="00874F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5% от начальной (максимальной) цены договора</w:t>
            </w:r>
            <w:r w:rsidR="00CB67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2C33CF" w:rsidRDefault="00CB673F" w:rsidP="00CB6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67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4 010 838,53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(ч</w:t>
            </w:r>
            <w:r w:rsidRPr="00CB67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етыре миллиона десять тысяч восемьсот тридцать восемь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Pr="00CB67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рублей 53 копейки</w:t>
            </w:r>
            <w:r w:rsidR="00B55D9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5A761A" w:rsidRDefault="002C33CF" w:rsidP="00CB6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3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заявки на участие в закупке предоставляется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участником</w:t>
            </w:r>
            <w:r w:rsidRPr="002C33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тендера в виде безотзывной банковской гарантии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с</w:t>
            </w:r>
            <w:r w:rsidRPr="002C33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указан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ием</w:t>
            </w:r>
            <w:r w:rsidRPr="002C33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сумм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ы</w:t>
            </w:r>
            <w:r w:rsidRPr="002C33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в пределах которой банк гарантирует обеспечение заявки на участие в закупке, или передачи заказчику в залог денежных средств, в соответствии с формой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104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A761A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«Образец платежного поручения, для перечисления денежных средств в качестве обеспечения заявки на участие в тендере» части 3 тендерной документации (Формы для заполнения участниками </w:t>
            </w:r>
            <w:r w:rsidR="00B10450" w:rsidRPr="00B10450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тендера</w:t>
            </w:r>
            <w:r w:rsidR="005A761A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), а также в соответствии с п.3.7.</w:t>
            </w:r>
            <w:r w:rsidR="007F7B92">
              <w:rPr>
                <w:rFonts w:ascii="Times New Roman" w:eastAsia="Times New Roman" w:hAnsi="Times New Roman" w:cs="Times New Roman"/>
                <w:sz w:val="24"/>
                <w:szCs w:val="24"/>
              </w:rPr>
              <w:t>, п. 9</w:t>
            </w:r>
            <w:r w:rsidR="005A761A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1 Тендерной документации (Инструкция участникам закупки).</w:t>
            </w:r>
          </w:p>
          <w:p w:rsidR="002C33CF" w:rsidRPr="002C33CF" w:rsidRDefault="002C33CF" w:rsidP="00CB6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</w:t>
            </w:r>
            <w:r w:rsidRPr="002C33CF">
              <w:rPr>
                <w:rFonts w:ascii="Times New Roman" w:hAnsi="Times New Roman" w:cs="Times New Roman"/>
                <w:sz w:val="24"/>
                <w:szCs w:val="24"/>
              </w:rPr>
              <w:t>заявки на участие в закупке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, из перечисленных выше, определяется </w:t>
            </w:r>
            <w:r w:rsidRPr="002C33CF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закупки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самостоятельно.</w:t>
            </w:r>
          </w:p>
        </w:tc>
      </w:tr>
      <w:tr w:rsidR="005A761A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61A" w:rsidRPr="00104B39" w:rsidRDefault="005A761A" w:rsidP="005A761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104B39" w:rsidRDefault="005A761A" w:rsidP="005A76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7720" w:rsidRPr="00967B1D" w:rsidRDefault="00B47720" w:rsidP="005A761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/>
                <w:sz w:val="24"/>
                <w:szCs w:val="24"/>
              </w:rPr>
              <w:t>Обеспечение исполнения договора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B47720">
              <w:rPr>
                <w:rFonts w:ascii="Times New Roman" w:hAnsi="Times New Roman"/>
                <w:sz w:val="24"/>
                <w:szCs w:val="24"/>
              </w:rPr>
              <w:t>размер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B47720">
              <w:rPr>
                <w:rFonts w:ascii="Times New Roman" w:hAnsi="Times New Roman"/>
                <w:sz w:val="24"/>
                <w:szCs w:val="24"/>
              </w:rPr>
              <w:t xml:space="preserve"> аванса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r w:rsidRPr="00A903D1">
              <w:rPr>
                <w:rFonts w:ascii="Times New Roman" w:hAnsi="Times New Roman"/>
                <w:b/>
                <w:sz w:val="24"/>
                <w:szCs w:val="24"/>
              </w:rPr>
              <w:t>15 000 000,00 руб.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End w:id="0"/>
            <w:r w:rsidRPr="00B47720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47720">
              <w:rPr>
                <w:rFonts w:ascii="Times New Roman" w:hAnsi="Times New Roman"/>
                <w:sz w:val="24"/>
                <w:szCs w:val="24"/>
              </w:rPr>
              <w:t>ятнадцать миллионов) рублей 00 копеек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635D0" w:rsidRDefault="005A761A" w:rsidP="005A761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B1D">
              <w:rPr>
                <w:rFonts w:ascii="Times New Roman" w:hAnsi="Times New Roman"/>
                <w:sz w:val="24"/>
                <w:szCs w:val="24"/>
              </w:rPr>
              <w:t xml:space="preserve">Обеспечение исполнения договора предоставляется победителем тендера в виде безотзывной банковской гарантии со сроком действия превышающим срок действия договора не менее чем на один месяц или передачи заказчику в залог денежных средств, </w:t>
            </w:r>
            <w:r w:rsidR="009635D0" w:rsidRPr="009635D0">
              <w:rPr>
                <w:rFonts w:ascii="Times New Roman" w:hAnsi="Times New Roman"/>
                <w:sz w:val="24"/>
                <w:szCs w:val="24"/>
              </w:rPr>
              <w:t xml:space="preserve">в соответствии с формой </w:t>
            </w:r>
            <w:r w:rsidR="009635D0">
              <w:rPr>
                <w:rFonts w:ascii="Times New Roman" w:hAnsi="Times New Roman"/>
                <w:sz w:val="24"/>
                <w:szCs w:val="24"/>
              </w:rPr>
              <w:t>4</w:t>
            </w:r>
            <w:r w:rsidR="009635D0" w:rsidRPr="009635D0">
              <w:rPr>
                <w:rFonts w:ascii="Times New Roman" w:hAnsi="Times New Roman"/>
                <w:sz w:val="24"/>
                <w:szCs w:val="24"/>
              </w:rPr>
              <w:t xml:space="preserve"> «Образец платежного поручения, для перечисления денежных средств в качестве обеспечения договора» части 3 тендерной документации (Формы для заполнения участниками тендера)</w:t>
            </w:r>
            <w:r w:rsidR="009635D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A761A" w:rsidRPr="00967B1D" w:rsidRDefault="005A761A" w:rsidP="005A761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Способ обеспечения исполнения договора, из перечисленных выше, определяется победителем тендера (или участником закупки, с которым заключается договор) самостоятельно. Требования к документам, подтверждающим предоставление обеспечения, порядку и форме их предоставления, срокам предоставления обеспечения исполнения договора, а также срокам и порядку возврата обеспечения установлены в части 1 тендерной документации «Инструкция участникам закупки»; части 4 тендерной документации «Проект договора».</w:t>
            </w:r>
          </w:p>
        </w:tc>
      </w:tr>
      <w:tr w:rsidR="00C7670B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104B3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3B2A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тендере,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подаются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участником закупки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 Заказчика в информационно-телекоммуникационной сети «Интернет» (http://www.tender.gorkygorod.ru/), раздел «Закупки». 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4B50B3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A607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</w:t>
            </w:r>
            <w:r w:rsidR="001A6079">
              <w:rPr>
                <w:rFonts w:eastAsiaTheme="minorEastAsia"/>
                <w:sz w:val="24"/>
                <w:szCs w:val="24"/>
              </w:rPr>
              <w:t xml:space="preserve"> </w:t>
            </w:r>
            <w:r w:rsidR="001A6079" w:rsidRPr="001A607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</w:t>
            </w:r>
            <w:r w:rsidR="0004091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дн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8578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18:00 часов, перерыв с 13:00 до 14:00 часов, в предпраздничные дни - с 9: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0 до 17:00, перерыв с 13:00 до 14:00. Запросы, направленные после окончания рабочего дня, в выходные и праздничные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Запросы, поступившие позднее, чем за 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дн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6E3C34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6768C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266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3926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7670B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 пода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на сайт Заказчика в информационно-телекоммуникационной сети «Интернет» (</w:t>
            </w:r>
            <w:hyperlink r:id="rId8" w:history="1">
              <w:r w:rsidR="002C3DA7" w:rsidRPr="0016768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http://www.tender.gorkygorod.ru/</w:t>
              </w:r>
            </w:hyperlink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), раздел «Закупки»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C7670B" w:rsidRPr="00C7670B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70B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70B"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 на участие в тендере производится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: 354392, Краснодарский край, г. Сочи, Адлерский район с. </w:t>
            </w:r>
            <w:proofErr w:type="spellStart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104B39" w:rsidRDefault="00C801A0" w:rsidP="00E2664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266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63926" w:rsidRPr="00A63926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AC3E0B" w:rsidRDefault="007E43D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3E0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открытия доступа к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1B3B45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1B3B45" w:rsidRDefault="001B3B45" w:rsidP="0054457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54457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5445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4573" w:rsidRPr="00544573" w:rsidRDefault="00544573" w:rsidP="0054457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44573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="00495F6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544573">
              <w:rPr>
                <w:rFonts w:ascii="Times New Roman" w:hAnsi="Times New Roman" w:cs="Times New Roman"/>
                <w:sz w:val="24"/>
                <w:szCs w:val="24"/>
              </w:rPr>
              <w:t xml:space="preserve"> 50% (100 баллов)</w:t>
            </w:r>
            <w:r w:rsidR="00495F6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95F65" w:rsidRDefault="00544573" w:rsidP="00544573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44573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095661" w:rsidRPr="00544573">
              <w:rPr>
                <w:rFonts w:ascii="Times New Roman" w:hAnsi="Times New Roman" w:cs="Times New Roman"/>
                <w:sz w:val="24"/>
                <w:szCs w:val="24"/>
              </w:rPr>
              <w:t xml:space="preserve">у участника закупки </w:t>
            </w:r>
            <w:r w:rsidRPr="00544573">
              <w:rPr>
                <w:rFonts w:ascii="Times New Roman" w:hAnsi="Times New Roman" w:cs="Times New Roman"/>
                <w:sz w:val="24"/>
                <w:szCs w:val="24"/>
              </w:rPr>
              <w:t xml:space="preserve">за последние 3 года опыта предоставления услуг аналогичных предмету закупки, стоимость по одному договору (контракту) не менее 50 000 000,00 (пятидесяти миллионов) от начальной (максимальной) цены Договора. </w:t>
            </w:r>
          </w:p>
          <w:p w:rsidR="00544573" w:rsidRDefault="00544573" w:rsidP="00544573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44573">
              <w:rPr>
                <w:rFonts w:ascii="Times New Roman" w:hAnsi="Times New Roman" w:cs="Times New Roman"/>
                <w:sz w:val="24"/>
                <w:szCs w:val="24"/>
              </w:rPr>
              <w:t xml:space="preserve">Для подтверждения опыта оказания услуг участник закупки прикладывает копии контрактов и / или договоров, копии актов оказанных услуг, иные документы, подтверждающие стоимость оказанных услуг.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 / или (договоров), сроки оказания услуг, реквизиты заказчиков и </w:t>
            </w:r>
            <w:r w:rsidRPr="005445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подрядчиков (исполнителей), их подписи и печати.</w:t>
            </w:r>
          </w:p>
          <w:p w:rsidR="00CA4257" w:rsidRPr="00CA4257" w:rsidRDefault="00CA4257" w:rsidP="00544573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257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баллов по критерию – 100 баллов.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266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63926" w:rsidRPr="00A63926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E2664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FB6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E266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63926" w:rsidRPr="00A63926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В случае, если цена заключаемого договора превышает 10 000 000 (десять миллионов) рублей, в соответствии с законодательством Российской Федерации для заключения такого договора необходимо его одобрение органом управления Заказчика, срок заключения такого договора должен составлять не более 30 рабочих дней со дня размещения на сайте </w:t>
            </w:r>
            <w:r w:rsidR="00A7000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итогового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</w:t>
            </w:r>
            <w:r>
              <w:rPr>
                <w:szCs w:val="24"/>
                <w:lang w:eastAsia="en-US"/>
              </w:rPr>
              <w:t>5</w:t>
            </w:r>
            <w:r w:rsidRPr="00A037C3">
              <w:rPr>
                <w:szCs w:val="24"/>
                <w:lang w:eastAsia="en-US"/>
              </w:rPr>
              <w:t xml:space="preserve"> (</w:t>
            </w:r>
            <w:r>
              <w:rPr>
                <w:szCs w:val="24"/>
                <w:lang w:eastAsia="en-US"/>
              </w:rPr>
              <w:t>пяти</w:t>
            </w:r>
            <w:r w:rsidRPr="00A037C3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lastRenderedPageBreak/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24AF" w:rsidRPr="00104B39" w:rsidTr="00EB1E83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9"/>
      <w:footerReference w:type="first" r:id="rId10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A37" w:rsidRDefault="000E5A37" w:rsidP="0097081F">
      <w:pPr>
        <w:spacing w:after="0" w:line="240" w:lineRule="auto"/>
      </w:pPr>
      <w:r>
        <w:separator/>
      </w:r>
    </w:p>
  </w:endnote>
  <w:endnote w:type="continuationSeparator" w:id="0">
    <w:p w:rsidR="000E5A37" w:rsidRDefault="000E5A3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903D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A37" w:rsidRDefault="000E5A37" w:rsidP="0097081F">
      <w:pPr>
        <w:spacing w:after="0" w:line="240" w:lineRule="auto"/>
      </w:pPr>
      <w:r>
        <w:separator/>
      </w:r>
    </w:p>
  </w:footnote>
  <w:footnote w:type="continuationSeparator" w:id="0">
    <w:p w:rsidR="000E5A37" w:rsidRDefault="000E5A3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3A37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5661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B7AC3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A37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1B26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64F7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4B15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D7B13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2EE6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33CF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A70F5"/>
    <w:rsid w:val="003B1143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126B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7776D"/>
    <w:rsid w:val="004801B3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5F65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3B8D"/>
    <w:rsid w:val="005045C9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4573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A761A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0CA3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93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A5C66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408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7F7B92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4F11"/>
    <w:rsid w:val="00875172"/>
    <w:rsid w:val="00875551"/>
    <w:rsid w:val="00876B1E"/>
    <w:rsid w:val="00876B3D"/>
    <w:rsid w:val="008833BB"/>
    <w:rsid w:val="00885103"/>
    <w:rsid w:val="00885B17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5D0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CB5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692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926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3D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174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2A7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450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47720"/>
    <w:rsid w:val="00B51B7C"/>
    <w:rsid w:val="00B52B97"/>
    <w:rsid w:val="00B54018"/>
    <w:rsid w:val="00B552F8"/>
    <w:rsid w:val="00B5539F"/>
    <w:rsid w:val="00B55578"/>
    <w:rsid w:val="00B55D90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36D31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A64"/>
    <w:rsid w:val="00C87C55"/>
    <w:rsid w:val="00C91B4E"/>
    <w:rsid w:val="00C9210A"/>
    <w:rsid w:val="00C92E8B"/>
    <w:rsid w:val="00C93F15"/>
    <w:rsid w:val="00C953F7"/>
    <w:rsid w:val="00C95742"/>
    <w:rsid w:val="00C95F31"/>
    <w:rsid w:val="00C970EB"/>
    <w:rsid w:val="00CA19BA"/>
    <w:rsid w:val="00CA24E1"/>
    <w:rsid w:val="00CA4257"/>
    <w:rsid w:val="00CA438D"/>
    <w:rsid w:val="00CA67AE"/>
    <w:rsid w:val="00CB0130"/>
    <w:rsid w:val="00CB1526"/>
    <w:rsid w:val="00CB43AA"/>
    <w:rsid w:val="00CB4B2A"/>
    <w:rsid w:val="00CB4F34"/>
    <w:rsid w:val="00CB673F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4A93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2AF7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78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0BB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26641"/>
    <w:rsid w:val="00E3284E"/>
    <w:rsid w:val="00E33165"/>
    <w:rsid w:val="00E33AB4"/>
    <w:rsid w:val="00E368ED"/>
    <w:rsid w:val="00E372DF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281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1E83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1D86C-0B88-45A3-B1C7-9307AA87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nder.gorkygoro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478BA-92E4-41C3-935E-C2836AB2D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8</Pages>
  <Words>3074</Words>
  <Characters>17528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Рындина Анастасия Сергеевна</cp:lastModifiedBy>
  <cp:revision>231</cp:revision>
  <cp:lastPrinted>2017-03-23T12:17:00Z</cp:lastPrinted>
  <dcterms:created xsi:type="dcterms:W3CDTF">2016-04-18T15:02:00Z</dcterms:created>
  <dcterms:modified xsi:type="dcterms:W3CDTF">2019-12-05T07:17:00Z</dcterms:modified>
</cp:coreProperties>
</file>