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6095"/>
      </w:tblGrid>
      <w:tr w:rsidR="00104B39" w:rsidRPr="00104B39" w:rsidTr="00B9601A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B9601A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4D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11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F2EE6" w:rsidRDefault="00DD5FE1" w:rsidP="00E14D22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1F2EE6">
              <w:rPr>
                <w:szCs w:val="24"/>
              </w:rPr>
              <w:t>«</w:t>
            </w:r>
            <w:r w:rsidR="00CA2B53">
              <w:rPr>
                <w:szCs w:val="24"/>
              </w:rPr>
              <w:t xml:space="preserve">Оказание услуг </w:t>
            </w:r>
            <w:bookmarkStart w:id="0" w:name="_GoBack"/>
            <w:bookmarkEnd w:id="0"/>
            <w:r w:rsidR="00717F0C" w:rsidRPr="00717F0C">
              <w:rPr>
                <w:szCs w:val="24"/>
              </w:rPr>
              <w:t xml:space="preserve">по уборке помещений и прилегающей территории торгово-развлекательного центра «Горки город </w:t>
            </w:r>
            <w:proofErr w:type="spellStart"/>
            <w:r w:rsidR="00717F0C" w:rsidRPr="00717F0C">
              <w:rPr>
                <w:szCs w:val="24"/>
              </w:rPr>
              <w:t>Молл</w:t>
            </w:r>
            <w:proofErr w:type="spellEnd"/>
            <w:r w:rsidR="00717F0C" w:rsidRPr="00717F0C">
              <w:rPr>
                <w:szCs w:val="24"/>
              </w:rPr>
              <w:t>» на отм.+540, пунктов проката горнолыжного оборудования на отм.+540, и отм.+960, офиса инструкторской службы и павильона входной группы на канатную дорогу на отм.+540</w:t>
            </w:r>
            <w:r w:rsidRPr="001F2EE6">
              <w:rPr>
                <w:szCs w:val="24"/>
              </w:rPr>
              <w:t>»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FF3AC1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FF3AC1">
              <w:rPr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FF3AC1">
              <w:rPr>
                <w:szCs w:val="24"/>
              </w:rPr>
              <w:t>Эсто</w:t>
            </w:r>
            <w:proofErr w:type="spellEnd"/>
            <w:r w:rsidRPr="00FF3AC1">
              <w:rPr>
                <w:szCs w:val="24"/>
              </w:rPr>
              <w:t>-садок, ул. Горная карусель д.3 (на высоте +540), ул. Набережная Времена года, д. 11 (на высоте +540), здание Кассы (на высоте +540), ул. Горная 5 (на высоте +960), ул. Горная 6 (на высоте +960).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26692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6359" w:rsidRPr="005D6359" w:rsidRDefault="00A26692" w:rsidP="005D635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5D6359" w:rsidRPr="005D6359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закупки:</w:t>
            </w:r>
          </w:p>
          <w:p w:rsidR="005D6359" w:rsidRPr="005D6359" w:rsidRDefault="005D6359" w:rsidP="005D635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8.1. 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в собственности или на ином законном основании </w:t>
            </w:r>
            <w:r w:rsidR="00481AE5"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5 </w:t>
            </w:r>
            <w:r w:rsidR="00481AE5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поломоечны</w:t>
            </w:r>
            <w:r w:rsidR="00481A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машин, предназначенны</w:t>
            </w:r>
            <w:r w:rsidR="00481AE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для уборки торговых площадей</w:t>
            </w:r>
            <w:r w:rsidR="00481A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35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443F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</w:t>
            </w:r>
            <w:r w:rsidRPr="005D6359">
              <w:rPr>
                <w:rFonts w:ascii="Times New Roman" w:hAnsi="Times New Roman" w:cs="Times New Roman"/>
                <w:i/>
                <w:sz w:val="24"/>
                <w:szCs w:val="24"/>
              </w:rPr>
              <w:t>предоставление</w:t>
            </w:r>
            <w:r w:rsidR="00443F0F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5D63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копий подтверждающих документов: паспортов на оборудование/договоров лизинга/договоров аренды/ товарных накладных и т.д.);</w:t>
            </w:r>
          </w:p>
          <w:p w:rsidR="005D6359" w:rsidRPr="00335F06" w:rsidRDefault="005D6359" w:rsidP="005D635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8.2. 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>профессиональных чистящих и моющих средств для уборки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F06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подтверждающих документов: договоров</w:t>
            </w:r>
            <w:r w:rsidR="00D251E9">
              <w:rPr>
                <w:rFonts w:ascii="Times New Roman" w:hAnsi="Times New Roman" w:cs="Times New Roman"/>
                <w:i/>
                <w:sz w:val="24"/>
                <w:szCs w:val="24"/>
              </w:rPr>
              <w:t>/ контрактов</w:t>
            </w:r>
            <w:r w:rsidRPr="00335F06">
              <w:rPr>
                <w:rFonts w:ascii="Times New Roman" w:hAnsi="Times New Roman" w:cs="Times New Roman"/>
                <w:i/>
                <w:sz w:val="24"/>
                <w:szCs w:val="24"/>
              </w:rPr>
              <w:t>, товарных накладных, с указанием товарного знака и производителя профессиональных чистящих и моющих средств);</w:t>
            </w:r>
          </w:p>
          <w:p w:rsidR="005D6359" w:rsidRPr="00933B31" w:rsidRDefault="005D6359" w:rsidP="0076023B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633">
              <w:rPr>
                <w:rFonts w:ascii="Times New Roman" w:hAnsi="Times New Roman" w:cs="Times New Roman"/>
                <w:sz w:val="24"/>
                <w:szCs w:val="24"/>
              </w:rPr>
              <w:t xml:space="preserve">в штате 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4633">
              <w:rPr>
                <w:rFonts w:ascii="Times New Roman" w:hAnsi="Times New Roman" w:cs="Times New Roman"/>
                <w:sz w:val="24"/>
                <w:szCs w:val="24"/>
              </w:rPr>
              <w:t>отрудников с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F0F">
              <w:rPr>
                <w:rFonts w:ascii="Times New Roman" w:hAnsi="Times New Roman" w:cs="Times New Roman"/>
                <w:sz w:val="24"/>
                <w:szCs w:val="24"/>
              </w:rPr>
              <w:t>личны</w:t>
            </w:r>
            <w:r w:rsidR="0043463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44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43463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книжк</w:t>
            </w:r>
            <w:r w:rsidR="0043463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76023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443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23B"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 сотрудников с удостоверением </w:t>
            </w:r>
            <w:r w:rsidR="0076023B" w:rsidRPr="00B31BFB">
              <w:rPr>
                <w:rFonts w:ascii="Times New Roman" w:hAnsi="Times New Roman" w:cs="Times New Roman"/>
                <w:sz w:val="24"/>
                <w:szCs w:val="24"/>
              </w:rPr>
              <w:t>о допуске к работам на высоте</w:t>
            </w:r>
            <w:r w:rsidR="0076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3B31" w:rsidRPr="00933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 предоставлением копий подтверждающих документов: выписка из штатного расписания, </w:t>
            </w:r>
            <w:r w:rsidR="0076023B" w:rsidRPr="0076023B">
              <w:rPr>
                <w:rFonts w:ascii="Times New Roman" w:hAnsi="Times New Roman" w:cs="Times New Roman"/>
                <w:i/>
                <w:sz w:val="24"/>
                <w:szCs w:val="24"/>
              </w:rPr>
              <w:t>удостоверени</w:t>
            </w:r>
            <w:r w:rsidR="007602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r w:rsidR="0076023B" w:rsidRPr="0076023B">
              <w:rPr>
                <w:rFonts w:ascii="Times New Roman" w:hAnsi="Times New Roman" w:cs="Times New Roman"/>
                <w:i/>
                <w:sz w:val="24"/>
                <w:szCs w:val="24"/>
              </w:rPr>
              <w:t>о допуске к работам на высоте</w:t>
            </w:r>
            <w:r w:rsidR="007602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r w:rsidR="00933B31" w:rsidRPr="00933B31">
              <w:rPr>
                <w:rFonts w:ascii="Times New Roman" w:hAnsi="Times New Roman" w:cs="Times New Roman"/>
                <w:i/>
                <w:sz w:val="24"/>
                <w:szCs w:val="24"/>
              </w:rPr>
              <w:t>личные медицинские книжки</w:t>
            </w:r>
            <w:r w:rsidR="0076023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76023B">
              <w:t xml:space="preserve"> </w:t>
            </w:r>
            <w:r w:rsidR="00933B31" w:rsidRPr="00933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r w:rsidR="0076023B">
              <w:rPr>
                <w:rFonts w:ascii="Times New Roman" w:hAnsi="Times New Roman" w:cs="Times New Roman"/>
                <w:i/>
                <w:sz w:val="24"/>
                <w:szCs w:val="24"/>
              </w:rPr>
              <w:t>требуемое количество</w:t>
            </w:r>
            <w:r w:rsidR="00933B31" w:rsidRPr="00933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сотрудник</w:t>
            </w:r>
            <w:r w:rsidR="0076023B">
              <w:rPr>
                <w:rFonts w:ascii="Times New Roman" w:hAnsi="Times New Roman" w:cs="Times New Roman"/>
                <w:i/>
                <w:sz w:val="24"/>
                <w:szCs w:val="24"/>
              </w:rPr>
              <w:t>ов</w:t>
            </w:r>
            <w:r w:rsidR="00933B31" w:rsidRPr="00933B31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FC6DFE" w:rsidRPr="005D6359" w:rsidRDefault="005D6359" w:rsidP="005D635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>) наличие у участника закупки действующей системы мероприятий по совершенствованию знаний, повышению квалификации и профессионального мастерства персонала с учетом его теоретической подготовки, практических навыков и умений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6359">
              <w:rPr>
                <w:rFonts w:ascii="Times New Roman" w:hAnsi="Times New Roman" w:cs="Times New Roman"/>
                <w:i/>
                <w:sz w:val="24"/>
                <w:szCs w:val="24"/>
              </w:rPr>
              <w:t>(с приложением копий подтверждающих документов: стандарты операционной процедуры уборки / программа обучения и т.д.).</w:t>
            </w:r>
            <w:r w:rsidRPr="005D6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6B74A3" w:rsidRPr="00104B39" w:rsidTr="00B9601A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104B3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104B3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104B3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Default="008D714B" w:rsidP="00B960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46A9">
              <w:rPr>
                <w:rFonts w:ascii="Times New Roman" w:hAnsi="Times New Roman" w:cs="Times New Roman"/>
              </w:rPr>
              <w:t>Предельная стоимость услуг по Договору (Цена Договора) не может превышать:</w:t>
            </w:r>
          </w:p>
          <w:p w:rsidR="00491FD9" w:rsidRPr="00703C0D" w:rsidRDefault="00893FB8" w:rsidP="00B72A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071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830,01</w:t>
            </w:r>
            <w:r w:rsidR="00B35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3FB8">
              <w:rPr>
                <w:rFonts w:ascii="Times New Roman" w:hAnsi="Times New Roman" w:cs="Times New Roman"/>
                <w:sz w:val="24"/>
                <w:szCs w:val="24"/>
              </w:rPr>
              <w:t>емнадцать миллионов семьдесят одна тысяча восемьсот тридцать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3FB8">
              <w:rPr>
                <w:rFonts w:ascii="Times New Roman" w:hAnsi="Times New Roman" w:cs="Times New Roman"/>
                <w:sz w:val="24"/>
                <w:szCs w:val="24"/>
              </w:rPr>
              <w:t xml:space="preserve"> рублей 01 копейка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845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305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B350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93FB8">
              <w:rPr>
                <w:rFonts w:ascii="Times New Roman" w:hAnsi="Times New Roman" w:cs="Times New Roman"/>
                <w:sz w:val="24"/>
                <w:szCs w:val="24"/>
              </w:rPr>
              <w:t>ва миллиона восемьсот сорок пять тысяч триста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3FB8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601A" w:rsidRDefault="00893FB8" w:rsidP="00B72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226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525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93F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93FB8">
              <w:rPr>
                <w:rFonts w:ascii="Times New Roman" w:hAnsi="Times New Roman" w:cs="Times New Roman"/>
                <w:sz w:val="24"/>
                <w:szCs w:val="24"/>
              </w:rPr>
              <w:t>етырнадцать миллиона двести двадцать шесть тысяч пятьсот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93FB8">
              <w:rPr>
                <w:rFonts w:ascii="Times New Roman" w:hAnsi="Times New Roman" w:cs="Times New Roman"/>
                <w:sz w:val="24"/>
                <w:szCs w:val="24"/>
              </w:rPr>
              <w:t xml:space="preserve"> рублей 01 копейка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9601A" w:rsidRDefault="00B9601A" w:rsidP="00B960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46A9">
              <w:rPr>
                <w:rFonts w:ascii="Times New Roman" w:hAnsi="Times New Roman" w:cs="Times New Roman"/>
              </w:rPr>
              <w:t xml:space="preserve">Установлены следующие начальные (максимальные) цены за </w:t>
            </w:r>
          </w:p>
          <w:p w:rsidR="00B9601A" w:rsidRDefault="00B9601A" w:rsidP="00B960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46A9">
              <w:rPr>
                <w:rFonts w:ascii="Times New Roman" w:hAnsi="Times New Roman" w:cs="Times New Roman"/>
              </w:rPr>
              <w:t>единицу услуги</w:t>
            </w:r>
            <w:r w:rsidRPr="00825A32">
              <w:rPr>
                <w:rFonts w:ascii="Times New Roman" w:hAnsi="Times New Roman" w:cs="Times New Roman"/>
              </w:rPr>
              <w:t>:</w:t>
            </w:r>
          </w:p>
          <w:p w:rsidR="00B9601A" w:rsidRPr="0003798B" w:rsidRDefault="00B9601A" w:rsidP="00B9601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a"/>
              <w:tblpPr w:leftFromText="180" w:rightFromText="180" w:vertAnchor="text" w:horzAnchor="margin" w:tblpX="279" w:tblpY="-246"/>
              <w:tblOverlap w:val="never"/>
              <w:tblW w:w="5524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410"/>
              <w:gridCol w:w="1280"/>
              <w:gridCol w:w="1272"/>
            </w:tblGrid>
            <w:tr w:rsidR="00B9601A" w:rsidRPr="0003798B" w:rsidTr="00637A2A">
              <w:tc>
                <w:tcPr>
                  <w:tcW w:w="562" w:type="dxa"/>
                  <w:vAlign w:val="center"/>
                </w:tcPr>
                <w:p w:rsidR="00B9601A" w:rsidRPr="0003798B" w:rsidRDefault="00B9601A" w:rsidP="00637A2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410" w:type="dxa"/>
                  <w:vAlign w:val="center"/>
                </w:tcPr>
                <w:p w:rsidR="00B9601A" w:rsidRPr="0003798B" w:rsidRDefault="00B9601A" w:rsidP="00637A2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280" w:type="dxa"/>
                  <w:vAlign w:val="center"/>
                </w:tcPr>
                <w:p w:rsidR="00B9601A" w:rsidRPr="0003798B" w:rsidRDefault="00B9601A" w:rsidP="00637A2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 </w:t>
                  </w:r>
                  <w:proofErr w:type="spellStart"/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кв.м</w:t>
                  </w:r>
                  <w:proofErr w:type="spellEnd"/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., в </w:t>
                  </w:r>
                  <w:proofErr w:type="spellStart"/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т.ч</w:t>
                  </w:r>
                  <w:proofErr w:type="spellEnd"/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. НДС </w:t>
                  </w:r>
                  <w:r w:rsidR="00637A2A"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20%</w:t>
                  </w:r>
                  <w:r w:rsidR="00637A2A"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</w:t>
                  </w: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 руб</w:t>
                  </w:r>
                  <w:r w:rsidR="00637A2A"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72" w:type="dxa"/>
                  <w:vAlign w:val="center"/>
                </w:tcPr>
                <w:p w:rsidR="00B9601A" w:rsidRPr="0003798B" w:rsidRDefault="00B9601A" w:rsidP="00637A2A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 </w:t>
                  </w:r>
                  <w:proofErr w:type="spellStart"/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кв.м</w:t>
                  </w:r>
                  <w:proofErr w:type="spellEnd"/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., НДС</w:t>
                  </w:r>
                  <w:r w:rsidR="00637A2A"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не предусмотрен</w:t>
                  </w: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, руб</w:t>
                  </w:r>
                  <w:r w:rsidR="00637A2A"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</w:p>
              </w:tc>
            </w:tr>
            <w:tr w:rsidR="00B9601A" w:rsidRPr="0003798B" w:rsidTr="00637A2A">
              <w:tc>
                <w:tcPr>
                  <w:tcW w:w="562" w:type="dxa"/>
                </w:tcPr>
                <w:p w:rsidR="00B9601A" w:rsidRPr="0003798B" w:rsidRDefault="00B9601A" w:rsidP="00B9601A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0" w:type="dxa"/>
                  <w:vAlign w:val="center"/>
                </w:tcPr>
                <w:p w:rsidR="00B9601A" w:rsidRPr="0003798B" w:rsidRDefault="00B9601A" w:rsidP="0003798B">
                  <w:pPr>
                    <w:jc w:val="both"/>
                    <w:rPr>
                      <w:rFonts w:eastAsia="Times New Roman"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Уборка общественных помещений ТРЦ, прокат, офис инструкторов, павильон входной группы на Главную канатную дорогу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9601A" w:rsidRPr="0003798B" w:rsidRDefault="00B9601A" w:rsidP="00B9601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2,88</w:t>
                  </w:r>
                </w:p>
              </w:tc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9601A" w:rsidRPr="0003798B" w:rsidRDefault="00B9601A" w:rsidP="00B9601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2,40</w:t>
                  </w:r>
                </w:p>
              </w:tc>
            </w:tr>
            <w:tr w:rsidR="00B9601A" w:rsidRPr="0003798B" w:rsidTr="00637A2A">
              <w:trPr>
                <w:trHeight w:val="280"/>
              </w:trPr>
              <w:tc>
                <w:tcPr>
                  <w:tcW w:w="562" w:type="dxa"/>
                </w:tcPr>
                <w:p w:rsidR="00B9601A" w:rsidRPr="0003798B" w:rsidRDefault="00B9601A" w:rsidP="00B9601A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10" w:type="dxa"/>
                  <w:vAlign w:val="center"/>
                </w:tcPr>
                <w:p w:rsidR="00B9601A" w:rsidRPr="0003798B" w:rsidRDefault="00B9601A" w:rsidP="0003798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Уборка прилегающей территории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9601A" w:rsidRPr="0003798B" w:rsidRDefault="00B9601A" w:rsidP="00B9601A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2,40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9601A" w:rsidRPr="0003798B" w:rsidRDefault="00B9601A" w:rsidP="00B9601A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2,00</w:t>
                  </w:r>
                </w:p>
              </w:tc>
            </w:tr>
            <w:tr w:rsidR="00B9601A" w:rsidRPr="0003798B" w:rsidTr="00637A2A">
              <w:tc>
                <w:tcPr>
                  <w:tcW w:w="562" w:type="dxa"/>
                </w:tcPr>
                <w:p w:rsidR="00B9601A" w:rsidRPr="0003798B" w:rsidRDefault="00B9601A" w:rsidP="00B9601A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410" w:type="dxa"/>
                  <w:vAlign w:val="center"/>
                </w:tcPr>
                <w:p w:rsidR="00B9601A" w:rsidRPr="0003798B" w:rsidRDefault="00B9601A" w:rsidP="0003798B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Мойка фасада и кровли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9601A" w:rsidRPr="0003798B" w:rsidRDefault="00B9601A" w:rsidP="001644DF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66,7</w:t>
                  </w:r>
                  <w:r w:rsidR="001644DF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9601A" w:rsidRPr="0003798B" w:rsidRDefault="00B9601A" w:rsidP="00B9601A">
                  <w:pPr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3798B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55,63</w:t>
                  </w:r>
                </w:p>
              </w:tc>
            </w:tr>
          </w:tbl>
          <w:p w:rsidR="00AD59C3" w:rsidRPr="00AD59C3" w:rsidRDefault="00AD59C3" w:rsidP="00AD5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9C3">
              <w:rPr>
                <w:rFonts w:ascii="Times New Roman" w:hAnsi="Times New Roman" w:cs="Times New Roman"/>
                <w:sz w:val="24"/>
                <w:szCs w:val="24"/>
              </w:rPr>
              <w:t>Конкретные цены будут установлены по результатам проведения процедуры закупки.</w:t>
            </w:r>
          </w:p>
          <w:p w:rsidR="00C801A0" w:rsidRPr="00491FD9" w:rsidRDefault="00DB17D3" w:rsidP="00B960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7D3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и других обязательных платежей, связанных с выполнением договора, а также указанная стоимость включает использование расходных материалов и средств для уборки, униформы, уборочной техники и </w:t>
            </w:r>
            <w:r w:rsidR="00AD59C3" w:rsidRPr="00AD59C3">
              <w:rPr>
                <w:rFonts w:ascii="Times New Roman" w:hAnsi="Times New Roman" w:cs="Times New Roman"/>
                <w:sz w:val="24"/>
                <w:szCs w:val="24"/>
              </w:rPr>
              <w:t>инвентаря Исполнителя.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B9601A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5A761A" w:rsidRPr="00104B39" w:rsidTr="00B9601A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73F" w:rsidRDefault="005A761A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</w:t>
            </w:r>
            <w:r w:rsidR="00B55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участие в закупке в размере </w:t>
            </w:r>
            <w:r w:rsidRPr="00874F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5% от начальной (максимальной) цены договора</w:t>
            </w:r>
            <w:r w:rsid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C33CF" w:rsidRDefault="009B0B70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B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853</w:t>
            </w:r>
            <w:r w:rsidR="0046703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9B0B7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591,50</w:t>
            </w:r>
            <w:r w:rsidR="00CB673F" w:rsidRPr="00CB67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руб.</w:t>
            </w:r>
            <w:r w:rsid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4670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  <w:r w:rsidR="0046703D" w:rsidRPr="004670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осемьсот пятьдесят три тысячи пятьсот девяносто один</w:t>
            </w:r>
            <w:r w:rsidR="004670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="0046703D" w:rsidRPr="0046703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рубль 50 копеек</w:t>
            </w:r>
            <w:r w:rsidR="00B55D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A761A" w:rsidRDefault="002C33CF" w:rsidP="00CB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заявки на участие в закупке 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предоставляется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участником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тендера в виде безотзывной банковской гарантии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указан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ием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пределах которой банк гарантирует обеспечение заявки на участие в закупке, или передачи заказчику в залог денежных средств, в соответствии с формой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</w:t>
            </w:r>
            <w:r w:rsidR="00B10450" w:rsidRP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тендера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), а также в соответствии с п.3.7.</w:t>
            </w:r>
            <w:r w:rsidR="007F7B92">
              <w:rPr>
                <w:rFonts w:ascii="Times New Roman" w:eastAsia="Times New Roman" w:hAnsi="Times New Roman" w:cs="Times New Roman"/>
                <w:sz w:val="24"/>
                <w:szCs w:val="24"/>
              </w:rPr>
              <w:t>, п. 9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1 Тендерной документации (Инструкция участникам закупки).</w:t>
            </w:r>
          </w:p>
          <w:p w:rsidR="002C33CF" w:rsidRPr="002C33CF" w:rsidRDefault="002C33CF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2C33CF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из перечисленных выше, определяется </w:t>
            </w:r>
            <w:r w:rsidRPr="002C33CF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закупки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</w:tr>
      <w:tr w:rsidR="005A761A" w:rsidRPr="00104B39" w:rsidTr="00B9601A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967B1D" w:rsidRDefault="00D651D4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их количественных и качественных характеристик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8 часов 0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3F5EC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B9601A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6009CD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6009CD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6009CD" w:rsidRDefault="001B3B45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796735"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796735" w:rsidRPr="006009CD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баллов):</w:t>
            </w:r>
          </w:p>
          <w:tbl>
            <w:tblPr>
              <w:tblStyle w:val="aa"/>
              <w:tblpPr w:leftFromText="180" w:rightFromText="180" w:vertAnchor="text" w:horzAnchor="margin" w:tblpXSpec="center" w:tblpY="-326"/>
              <w:tblOverlap w:val="never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843"/>
              <w:gridCol w:w="1134"/>
              <w:gridCol w:w="1134"/>
              <w:gridCol w:w="1134"/>
            </w:tblGrid>
            <w:tr w:rsidR="006009CD" w:rsidRPr="006009CD" w:rsidTr="00616710">
              <w:trPr>
                <w:jc w:val="center"/>
              </w:trPr>
              <w:tc>
                <w:tcPr>
                  <w:tcW w:w="562" w:type="dxa"/>
                  <w:vAlign w:val="center"/>
                </w:tcPr>
                <w:p w:rsidR="00616710" w:rsidRPr="006009CD" w:rsidRDefault="00616710" w:rsidP="0061671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№ п/п</w:t>
                  </w:r>
                </w:p>
              </w:tc>
              <w:tc>
                <w:tcPr>
                  <w:tcW w:w="1843" w:type="dxa"/>
                  <w:vAlign w:val="center"/>
                </w:tcPr>
                <w:p w:rsidR="00616710" w:rsidRPr="006009CD" w:rsidRDefault="00616710" w:rsidP="0061671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134" w:type="dxa"/>
                  <w:vAlign w:val="center"/>
                </w:tcPr>
                <w:p w:rsidR="00616710" w:rsidRPr="006009CD" w:rsidRDefault="00616710" w:rsidP="0061671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 </w:t>
                  </w:r>
                  <w:proofErr w:type="spellStart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кв.м</w:t>
                  </w:r>
                  <w:proofErr w:type="spellEnd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., в </w:t>
                  </w:r>
                  <w:proofErr w:type="spellStart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т.ч</w:t>
                  </w:r>
                  <w:proofErr w:type="spellEnd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 НДС (20%), руб.</w:t>
                  </w:r>
                </w:p>
              </w:tc>
              <w:tc>
                <w:tcPr>
                  <w:tcW w:w="1134" w:type="dxa"/>
                  <w:vAlign w:val="center"/>
                </w:tcPr>
                <w:p w:rsidR="00616710" w:rsidRPr="006009CD" w:rsidRDefault="00616710" w:rsidP="0061671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Начальная максимальная цена за 1 </w:t>
                  </w:r>
                  <w:proofErr w:type="spellStart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кв.м</w:t>
                  </w:r>
                  <w:proofErr w:type="spellEnd"/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., НДС не предусмотрен, руб.</w:t>
                  </w:r>
                </w:p>
              </w:tc>
              <w:tc>
                <w:tcPr>
                  <w:tcW w:w="1134" w:type="dxa"/>
                  <w:vAlign w:val="center"/>
                </w:tcPr>
                <w:p w:rsidR="00616710" w:rsidRPr="006009CD" w:rsidRDefault="00616710" w:rsidP="00616710">
                  <w:pPr>
                    <w:spacing w:before="24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</w:t>
                  </w:r>
                  <w:r w:rsidR="009A1CB6" w:rsidRPr="006009CD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(по позиции)</w:t>
                  </w:r>
                </w:p>
              </w:tc>
            </w:tr>
            <w:tr w:rsidR="006009CD" w:rsidRPr="006009CD" w:rsidTr="00DF76DA">
              <w:trPr>
                <w:jc w:val="center"/>
              </w:trPr>
              <w:tc>
                <w:tcPr>
                  <w:tcW w:w="562" w:type="dxa"/>
                </w:tcPr>
                <w:p w:rsidR="00796735" w:rsidRPr="006009CD" w:rsidRDefault="00796735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796735" w:rsidRPr="006009CD" w:rsidRDefault="00796735" w:rsidP="00DF76DA">
                  <w:pPr>
                    <w:jc w:val="both"/>
                    <w:rPr>
                      <w:rFonts w:eastAsia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Уборка общественных помещений ТРЦ, прокат, офис инструкторов, павильон входной группы на Главную канатную дорогу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2,88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33,34</w:t>
                  </w:r>
                </w:p>
              </w:tc>
            </w:tr>
            <w:tr w:rsidR="006009CD" w:rsidRPr="006009CD" w:rsidTr="00DF76DA">
              <w:trPr>
                <w:trHeight w:val="280"/>
                <w:jc w:val="center"/>
              </w:trPr>
              <w:tc>
                <w:tcPr>
                  <w:tcW w:w="562" w:type="dxa"/>
                </w:tcPr>
                <w:p w:rsidR="00796735" w:rsidRPr="006009CD" w:rsidRDefault="00796735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843" w:type="dxa"/>
                  <w:vAlign w:val="center"/>
                </w:tcPr>
                <w:p w:rsidR="00796735" w:rsidRPr="006009CD" w:rsidRDefault="00796735" w:rsidP="00DF76D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Уборка прилегающей территории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33,33</w:t>
                  </w:r>
                </w:p>
              </w:tc>
            </w:tr>
            <w:tr w:rsidR="006009CD" w:rsidRPr="006009CD" w:rsidTr="006E0A0F">
              <w:trPr>
                <w:jc w:val="center"/>
              </w:trPr>
              <w:tc>
                <w:tcPr>
                  <w:tcW w:w="562" w:type="dxa"/>
                  <w:tcBorders>
                    <w:bottom w:val="single" w:sz="4" w:space="0" w:color="auto"/>
                  </w:tcBorders>
                </w:tcPr>
                <w:p w:rsidR="00796735" w:rsidRPr="006009CD" w:rsidRDefault="00796735" w:rsidP="0079673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vAlign w:val="center"/>
                </w:tcPr>
                <w:p w:rsidR="00796735" w:rsidRPr="006009CD" w:rsidRDefault="00796735" w:rsidP="00DF76DA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Мойка фасада и кровли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96735" w:rsidRPr="006009CD" w:rsidRDefault="00796735" w:rsidP="001644DF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66,7</w:t>
                  </w:r>
                  <w:r w:rsidR="001644DF"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55,63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:rsidR="00796735" w:rsidRPr="006009CD" w:rsidRDefault="00796735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33,33</w:t>
                  </w:r>
                </w:p>
              </w:tc>
            </w:tr>
            <w:tr w:rsidR="006009CD" w:rsidRPr="006009CD" w:rsidTr="004B70D9">
              <w:trPr>
                <w:jc w:val="center"/>
              </w:trPr>
              <w:tc>
                <w:tcPr>
                  <w:tcW w:w="4673" w:type="dxa"/>
                  <w:gridSpan w:val="4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E0A0F" w:rsidRPr="006009CD" w:rsidRDefault="006E0A0F" w:rsidP="006E0A0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:rsidR="006E0A0F" w:rsidRPr="006009CD" w:rsidRDefault="006E0A0F" w:rsidP="00796735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009CD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544573" w:rsidRPr="006009CD" w:rsidRDefault="00544573" w:rsidP="0041551B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ind w:left="34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="00495F65" w:rsidRPr="006009CD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51B" w:rsidRPr="006009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09CD">
              <w:rPr>
                <w:rFonts w:ascii="Times New Roman" w:hAnsi="Times New Roman" w:cs="Times New Roman"/>
                <w:sz w:val="24"/>
                <w:szCs w:val="24"/>
              </w:rPr>
              <w:t>0% (100 баллов)</w:t>
            </w:r>
            <w:r w:rsidR="0041551B" w:rsidRPr="006009CD">
              <w:rPr>
                <w:rFonts w:ascii="Times New Roman" w:hAnsi="Times New Roman" w:cs="Times New Roman"/>
                <w:sz w:val="24"/>
                <w:szCs w:val="24"/>
              </w:rPr>
              <w:t>, в том числе</w:t>
            </w:r>
            <w:r w:rsidR="00DB4F7F" w:rsidRPr="006009CD">
              <w:rPr>
                <w:rFonts w:ascii="Times New Roman" w:hAnsi="Times New Roman" w:cs="Times New Roman"/>
                <w:sz w:val="24"/>
                <w:szCs w:val="24"/>
              </w:rPr>
              <w:t xml:space="preserve"> подкритерии</w:t>
            </w:r>
            <w:r w:rsidR="00495F65" w:rsidRPr="006009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009CD" w:rsidRPr="006009CD" w:rsidRDefault="006009CD" w:rsidP="006009CD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Наличие у участника закупки за период 2016 – 2019 гг. опыта оказания услуг по уборке внутренних помещений объектов коммерческой недвижимости (торговых центров, гипермаркетов, деловых центров, аэропортов, железнодорожных вокзалов), стоимостью по одному договору (контракту) не менее 500 000 рублей.</w:t>
            </w:r>
          </w:p>
          <w:p w:rsidR="006009CD" w:rsidRPr="006009CD" w:rsidRDefault="006009CD" w:rsidP="00600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 оказания услуг. Для подтверждения опыта оказания услуг участник закупки прикладывает копии не менее 3-х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подрядчиков (исполнителей), их подписи и печати. </w:t>
            </w:r>
          </w:p>
          <w:p w:rsidR="006009CD" w:rsidRPr="006009CD" w:rsidRDefault="006009CD" w:rsidP="00600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К оценке принимается не менее 3-х контрактов и/или договоров, актов оказанных услуг.</w:t>
            </w:r>
          </w:p>
          <w:p w:rsidR="006009CD" w:rsidRPr="006009CD" w:rsidRDefault="006009CD" w:rsidP="00600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6009CD" w:rsidRPr="0093554E" w:rsidRDefault="006009CD" w:rsidP="006009C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2.2. </w:t>
            </w:r>
            <w:r w:rsidRPr="0093554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положительной деловой репутации</w:t>
            </w: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подтвержденной отзывами (благодарственными письмами, почетными грамотами, дипломами и </w:t>
            </w:r>
            <w:proofErr w:type="spellStart"/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proofErr w:type="spellEnd"/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от заказчиков, в отношении которых участником закупки осуществлялась уборка внутренних помещений объектов коммерческой недвижимости (торговых центров, гипермаркетов, деловых центров, аэропортов, железнодорожных вокзалов). </w:t>
            </w:r>
            <w:r w:rsidRPr="00935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предоставлением подтверждающих документов. При оценке учитываются даты оформления и содержание представленных документов.</w:t>
            </w:r>
          </w:p>
          <w:p w:rsidR="006009CD" w:rsidRPr="0093554E" w:rsidRDefault="006009CD" w:rsidP="006009C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оценке принимается </w:t>
            </w:r>
            <w:r w:rsidRPr="00935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менее 5 отзывов </w:t>
            </w:r>
            <w:r w:rsidRPr="009355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благодарственных писем, почетных грамот, дипломов и </w:t>
            </w:r>
            <w:proofErr w:type="spellStart"/>
            <w:r w:rsidRPr="006009CD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proofErr w:type="spellEnd"/>
            <w:r w:rsidRPr="009355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</w:t>
            </w:r>
          </w:p>
          <w:p w:rsidR="00DB4F7F" w:rsidRDefault="006009CD" w:rsidP="00600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009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количество баллов по подкритерию – 50 баллов.</w:t>
            </w:r>
          </w:p>
          <w:p w:rsidR="00F223B3" w:rsidRPr="00F223B3" w:rsidRDefault="00F223B3" w:rsidP="00F223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223B3">
              <w:rPr>
                <w:rFonts w:ascii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всем подкритериям в полном</w:t>
            </w:r>
            <w:r w:rsidRPr="00F223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223B3">
              <w:rPr>
                <w:rFonts w:ascii="Times New Roman" w:eastAsia="Times New Roman" w:hAnsi="Times New Roman" w:cs="Times New Roman"/>
                <w:i/>
              </w:rPr>
              <w:t>(требуемом)</w:t>
            </w:r>
            <w:r w:rsidRPr="00F223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объеме влечет за собой присуждение 0 баллов по данному подкритерию.</w:t>
            </w:r>
          </w:p>
        </w:tc>
      </w:tr>
      <w:tr w:rsidR="00104B39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3F5EC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266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5E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B9601A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B9601A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B9601A">
        <w:trPr>
          <w:trHeight w:val="557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B9601A">
      <w:footerReference w:type="default" r:id="rId9"/>
      <w:footerReference w:type="first" r:id="rId10"/>
      <w:pgSz w:w="11906" w:h="16838"/>
      <w:pgMar w:top="425" w:right="851" w:bottom="425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1C" w:rsidRDefault="00E25A1C" w:rsidP="0097081F">
      <w:pPr>
        <w:spacing w:after="0" w:line="240" w:lineRule="auto"/>
      </w:pPr>
      <w:r>
        <w:separator/>
      </w:r>
    </w:p>
  </w:endnote>
  <w:endnote w:type="continuationSeparator" w:id="0">
    <w:p w:rsidR="00E25A1C" w:rsidRDefault="00E25A1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A2B5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1C" w:rsidRDefault="00E25A1C" w:rsidP="0097081F">
      <w:pPr>
        <w:spacing w:after="0" w:line="240" w:lineRule="auto"/>
      </w:pPr>
      <w:r>
        <w:separator/>
      </w:r>
    </w:p>
  </w:footnote>
  <w:footnote w:type="continuationSeparator" w:id="0">
    <w:p w:rsidR="00E25A1C" w:rsidRDefault="00E25A1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2A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5F06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703D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3B8D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D6359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023B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6735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B8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14B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1082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9D9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19BA"/>
    <w:rsid w:val="00CA24E1"/>
    <w:rsid w:val="00CA2B53"/>
    <w:rsid w:val="00CA4257"/>
    <w:rsid w:val="00CA438D"/>
    <w:rsid w:val="00CA562E"/>
    <w:rsid w:val="00CA67AE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4A93"/>
    <w:rsid w:val="00CE5350"/>
    <w:rsid w:val="00CE53B3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AD5BA-85D1-4807-9260-105CB9D3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9</Pages>
  <Words>3371</Words>
  <Characters>19218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291</cp:revision>
  <cp:lastPrinted>2019-12-26T08:43:00Z</cp:lastPrinted>
  <dcterms:created xsi:type="dcterms:W3CDTF">2016-04-18T15:02:00Z</dcterms:created>
  <dcterms:modified xsi:type="dcterms:W3CDTF">2019-12-26T10:03:00Z</dcterms:modified>
</cp:coreProperties>
</file>