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:rsidR="004B028D" w:rsidRPr="004B028D" w:rsidRDefault="00801501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____________________/И. А.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Верховский</w:t>
      </w:r>
      <w:proofErr w:type="spellEnd"/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:rsid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4B028D" w:rsidRPr="004B028D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по </w:t>
      </w:r>
      <w:r w:rsidR="00713DD2">
        <w:rPr>
          <w:rFonts w:ascii="Times New Roman" w:eastAsia="Times New Roman" w:hAnsi="Times New Roman" w:cs="Times New Roman"/>
          <w:lang w:eastAsia="ru-RU"/>
        </w:rPr>
        <w:t>ремонту раздвижных перегородок с внешней отделкой</w:t>
      </w:r>
      <w:r w:rsidR="00FB1FB9">
        <w:rPr>
          <w:rFonts w:ascii="Times New Roman" w:eastAsia="Times New Roman" w:hAnsi="Times New Roman" w:cs="Times New Roman"/>
          <w:lang w:eastAsia="ru-RU"/>
        </w:rPr>
        <w:t xml:space="preserve"> в конференц</w:t>
      </w:r>
      <w:r w:rsidR="005772CF">
        <w:rPr>
          <w:rFonts w:ascii="Times New Roman" w:eastAsia="Times New Roman" w:hAnsi="Times New Roman" w:cs="Times New Roman"/>
          <w:lang w:eastAsia="ru-RU"/>
        </w:rPr>
        <w:t>-</w:t>
      </w:r>
      <w:r w:rsidR="00FB1FB9">
        <w:rPr>
          <w:rFonts w:ascii="Times New Roman" w:eastAsia="Times New Roman" w:hAnsi="Times New Roman" w:cs="Times New Roman"/>
          <w:lang w:eastAsia="ru-RU"/>
        </w:rPr>
        <w:t>зале Лермонтов</w:t>
      </w:r>
      <w:r w:rsidR="00713DD2">
        <w:rPr>
          <w:rFonts w:ascii="Times New Roman" w:eastAsia="Times New Roman" w:hAnsi="Times New Roman" w:cs="Times New Roman"/>
          <w:lang w:eastAsia="ru-RU"/>
        </w:rPr>
        <w:t xml:space="preserve"> отеля «Горки Гранд»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2409"/>
        <w:gridCol w:w="6803"/>
      </w:tblGrid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713DD2" w:rsidP="005772C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ыполнение работ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ремонту раздвижных перегородок с внешней отделкой</w:t>
            </w:r>
            <w:r w:rsidR="00FB1FB9">
              <w:rPr>
                <w:rFonts w:ascii="Times New Roman" w:eastAsia="Times New Roman" w:hAnsi="Times New Roman" w:cs="Times New Roman"/>
                <w:lang w:eastAsia="ru-RU"/>
              </w:rPr>
              <w:t xml:space="preserve"> в конференц</w:t>
            </w:r>
            <w:r w:rsidR="005772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B1FB9">
              <w:rPr>
                <w:rFonts w:ascii="Times New Roman" w:eastAsia="Times New Roman" w:hAnsi="Times New Roman" w:cs="Times New Roman"/>
                <w:lang w:eastAsia="ru-RU"/>
              </w:rPr>
              <w:t>зале Лермонтов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отеля «Горки Гранд»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0B3D3C" w:rsidRDefault="004B028D" w:rsidP="000B3D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Эсто</w:t>
            </w:r>
            <w:r w:rsidR="005772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садок</w:t>
            </w:r>
            <w:proofErr w:type="spell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+ 96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0м,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ул. Горная д. 4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0B3D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</w:t>
            </w:r>
            <w:proofErr w:type="spellStart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Эсто</w:t>
            </w:r>
            <w:r w:rsidR="005772C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садок</w:t>
            </w:r>
            <w:proofErr w:type="spellEnd"/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+ 96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0м,</w:t>
            </w:r>
            <w:r w:rsidR="000B3D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ул. Горная д. 4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:rsidR="004B028D" w:rsidRPr="005772CF" w:rsidRDefault="005772CF" w:rsidP="0099412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772CF">
              <w:rPr>
                <w:rFonts w:ascii="Times New Roman" w:eastAsia="Calibri" w:hAnsi="Times New Roman" w:cs="Times New Roman"/>
                <w:sz w:val="24"/>
                <w:szCs w:val="24"/>
              </w:rPr>
              <w:t>3. Наличие обученного и аттестованного персонала.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713DD2" w:rsidP="00C82DB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раздвижных перегородок с внешней отделкой</w:t>
            </w:r>
            <w:r w:rsidR="00FB1FB9">
              <w:rPr>
                <w:rFonts w:ascii="Times New Roman" w:eastAsia="Times New Roman" w:hAnsi="Times New Roman" w:cs="Times New Roman"/>
                <w:lang w:eastAsia="ru-RU"/>
              </w:rPr>
              <w:t xml:space="preserve"> в конференц</w:t>
            </w:r>
            <w:r w:rsidR="00C82DB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FB1FB9">
              <w:rPr>
                <w:rFonts w:ascii="Times New Roman" w:eastAsia="Times New Roman" w:hAnsi="Times New Roman" w:cs="Times New Roman"/>
                <w:lang w:eastAsia="ru-RU"/>
              </w:rPr>
              <w:t>зале Лермонтов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отеля «Горки Гранд»</w:t>
            </w:r>
          </w:p>
        </w:tc>
      </w:tr>
      <w:tr w:rsidR="004B028D" w:rsidRPr="004B028D" w:rsidTr="00005840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28D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25календарных дней со дня заключения договора.</w:t>
            </w:r>
          </w:p>
          <w:p w:rsidR="0099412C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412C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412C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412C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412C" w:rsidRPr="004B028D" w:rsidRDefault="0099412C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2DBD" w:rsidRPr="004B028D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BD" w:rsidRPr="004B028D" w:rsidRDefault="00C82DB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lang w:eastAsia="ru-RU"/>
              </w:rPr>
              <w:t>9</w:t>
            </w: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BD" w:rsidRPr="004B028D" w:rsidRDefault="00C82DB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Разработать и согласовать проект производства работ по всем видам производимых работ в течение 2 (двух) рабочих дней с даты подписания договора.</w:t>
            </w:r>
          </w:p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2.Осуществить ремонтно-строительные работы:</w:t>
            </w:r>
          </w:p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</w:t>
            </w: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подряда не предусмотрено, что обеспечение ремонта в целом или в определенной части осуществляет заказчик; </w:t>
            </w:r>
          </w:p>
          <w:p w:rsidR="00C82DBD" w:rsidRPr="009107CF" w:rsidRDefault="00C82DBD" w:rsidP="00910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C82DBD" w:rsidRPr="009107CF" w:rsidRDefault="00C82DBD" w:rsidP="009107CF">
            <w:pPr>
              <w:numPr>
                <w:ilvl w:val="0"/>
                <w:numId w:val="1"/>
              </w:numPr>
              <w:suppressLineNumbers/>
              <w:tabs>
                <w:tab w:val="num" w:pos="318"/>
                <w:tab w:val="num" w:pos="376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0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</w:tc>
      </w:tr>
      <w:tr w:rsidR="004B028D" w:rsidRPr="004B028D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73558A" w:rsidP="00C82DB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Раздвижные перегородки в конференц</w:t>
            </w:r>
            <w:r w:rsidR="00C82DBD">
              <w:rPr>
                <w:rFonts w:ascii="Times New Roman" w:eastAsia="Calibri" w:hAnsi="Times New Roman" w:cs="Times New Roman"/>
                <w:color w:val="000000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</w:rPr>
              <w:t>зале Лермонтов</w:t>
            </w:r>
          </w:p>
        </w:tc>
      </w:tr>
      <w:tr w:rsidR="004B028D" w:rsidRPr="004B028D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</w:t>
            </w:r>
            <w:r w:rsidR="0099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(</w:t>
            </w:r>
            <w:r w:rsidR="00C82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двадцать</w:t>
            </w:r>
            <w:r w:rsidR="009941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четыре) месяца</w:t>
            </w:r>
            <w:bookmarkStart w:id="0" w:name="_GoBack"/>
            <w:bookmarkEnd w:id="0"/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 дня подписания акта о приемки выполненных работ</w:t>
            </w:r>
          </w:p>
        </w:tc>
      </w:tr>
      <w:tr w:rsidR="004B028D" w:rsidRPr="004B028D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FB1FB9" w:rsidRPr="004B028D" w:rsidRDefault="00FB1F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787346" w:rsidRDefault="00787346"/>
    <w:p w:rsidR="00F81450" w:rsidRDefault="00F81450"/>
    <w:p w:rsidR="00BD11AF" w:rsidRDefault="00BD11AF"/>
    <w:p w:rsidR="00B663AD" w:rsidRDefault="00B663AD"/>
    <w:p w:rsidR="00B663AD" w:rsidRDefault="00B663AD"/>
    <w:p w:rsidR="00B663AD" w:rsidRDefault="00B663AD"/>
    <w:p w:rsidR="00B80DF2" w:rsidRDefault="00B80DF2"/>
    <w:p w:rsidR="00B80DF2" w:rsidRDefault="00B80DF2"/>
    <w:p w:rsidR="00B80DF2" w:rsidRDefault="00B80DF2"/>
    <w:p w:rsidR="00B80DF2" w:rsidRDefault="00B80DF2"/>
    <w:p w:rsidR="00B80DF2" w:rsidRDefault="00B80DF2"/>
    <w:p w:rsidR="00FB1FB9" w:rsidRDefault="00FB1FB9"/>
    <w:p w:rsidR="00FB1FB9" w:rsidRDefault="00FB1FB9"/>
    <w:p w:rsidR="00FB1FB9" w:rsidRDefault="00FB1FB9"/>
    <w:p w:rsidR="00FB1FB9" w:rsidRDefault="00FB1FB9"/>
    <w:p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:rsidR="00F81450" w:rsidRPr="00F81450" w:rsidRDefault="00F81450" w:rsidP="00983B5A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lang w:eastAsia="ru-RU"/>
        </w:rPr>
        <w:t xml:space="preserve">На проведение </w:t>
      </w:r>
      <w:r w:rsidR="00983B5A" w:rsidRPr="004B028D">
        <w:rPr>
          <w:rFonts w:ascii="Times New Roman" w:eastAsia="Times New Roman" w:hAnsi="Times New Roman" w:cs="Times New Roman"/>
          <w:lang w:eastAsia="ru-RU"/>
        </w:rPr>
        <w:t xml:space="preserve">работ по </w:t>
      </w:r>
      <w:r w:rsidR="00983B5A">
        <w:rPr>
          <w:rFonts w:ascii="Times New Roman" w:eastAsia="Times New Roman" w:hAnsi="Times New Roman" w:cs="Times New Roman"/>
          <w:lang w:eastAsia="ru-RU"/>
        </w:rPr>
        <w:t>ремонту раздвижных перегородок с внешней отделкой в конференц</w:t>
      </w:r>
      <w:r w:rsidR="00B663AD">
        <w:rPr>
          <w:rFonts w:ascii="Times New Roman" w:eastAsia="Times New Roman" w:hAnsi="Times New Roman" w:cs="Times New Roman"/>
          <w:lang w:eastAsia="ru-RU"/>
        </w:rPr>
        <w:t>-</w:t>
      </w:r>
      <w:r w:rsidR="00983B5A">
        <w:rPr>
          <w:rFonts w:ascii="Times New Roman" w:eastAsia="Times New Roman" w:hAnsi="Times New Roman" w:cs="Times New Roman"/>
          <w:lang w:eastAsia="ru-RU"/>
        </w:rPr>
        <w:t>зале Лермонтов отеля «Горки Гранд»</w:t>
      </w: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9116" w:type="dxa"/>
        <w:tblLook w:val="04A0"/>
      </w:tblPr>
      <w:tblGrid>
        <w:gridCol w:w="611"/>
        <w:gridCol w:w="3686"/>
        <w:gridCol w:w="1701"/>
        <w:gridCol w:w="1275"/>
        <w:gridCol w:w="1843"/>
        <w:tblGridChange w:id="1">
          <w:tblGrid>
            <w:gridCol w:w="611"/>
            <w:gridCol w:w="3686"/>
            <w:gridCol w:w="1701"/>
            <w:gridCol w:w="1275"/>
            <w:gridCol w:w="1843"/>
          </w:tblGrid>
        </w:tblGridChange>
      </w:tblGrid>
      <w:tr w:rsidR="00B663AD" w:rsidRPr="00B80DF2" w:rsidTr="005418B8">
        <w:trPr>
          <w:trHeight w:val="49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№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Ед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изм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Кол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</w:tr>
      <w:tr w:rsidR="00B663AD" w:rsidRPr="00B80DF2" w:rsidTr="005418B8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B663AD" w:rsidRPr="00B80DF2" w:rsidTr="005418B8">
        <w:trPr>
          <w:trHeight w:val="420"/>
        </w:trPr>
        <w:tc>
          <w:tcPr>
            <w:tcW w:w="9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                         Раздел 1. Демонтаж и монтаж раздвижных  перегородок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Демонтаж направляющей потолочной рельсы и креплений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Демонтаж каретки с роликом: для раздвижных дверей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деревянных перегородок: из гипсовых, шлакобетонных и фибролитовых плит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 м2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1,6128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Устройство покрытий: из готовых ковров на комнату на клее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м2</w:t>
            </w:r>
          </w:p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покрытий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3,2256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63AD" w:rsidRPr="00B80DF2" w:rsidTr="005418B8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Ковролин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коммерческий,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иглопробивной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Forbo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Markant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11103 бежевый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м2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329,0112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Клей для ковровых и текстильных покрытий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Forbo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509, расход клея 450 г/м2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кг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145,152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Монтаж направляющей потолочной рельсы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Шурупы-саморезы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шести-восьмигранной</w:t>
            </w:r>
            <w:proofErr w:type="spellEnd"/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головкой 4,5х25(35)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10 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Монтаж каретки с роликом: для раздвижных дверей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B663AD" w:rsidRPr="00B80DF2" w:rsidTr="005418B8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стеновых панелей из ДСП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63AD" w:rsidRPr="00B80DF2" w:rsidRDefault="00B663AD" w:rsidP="005418B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100 полотен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63AD" w:rsidRPr="00B80DF2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80D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</w:tbl>
    <w:p w:rsidR="00BD11AF" w:rsidRDefault="00BD11AF" w:rsidP="00005840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6A7DA3" w:rsidRDefault="006A7DA3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6A7DA3" w:rsidRDefault="006A7DA3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6A7DA3" w:rsidRDefault="006A7DA3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629A" w:rsidRDefault="006E629A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:rsidR="00983B5A" w:rsidRDefault="00983B5A" w:rsidP="00983B5A">
      <w:pPr>
        <w:spacing w:after="0" w:line="221" w:lineRule="auto"/>
        <w:ind w:right="-2"/>
        <w:rPr>
          <w:rFonts w:ascii="Times New Roman" w:eastAsia="Times New Roman" w:hAnsi="Times New Roman" w:cs="Times New Roman"/>
          <w:lang w:eastAsia="ru-RU"/>
        </w:rPr>
      </w:pPr>
    </w:p>
    <w:p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663AD" w:rsidRPr="006A7DA3" w:rsidRDefault="00B663AD" w:rsidP="00B663AD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 </w:t>
      </w:r>
    </w:p>
    <w:p w:rsidR="00B663AD" w:rsidRPr="006A7DA3" w:rsidRDefault="00B663AD" w:rsidP="00B663AD">
      <w:pPr>
        <w:spacing w:after="120"/>
        <w:jc w:val="center"/>
        <w:rPr>
          <w:rFonts w:ascii="Times New Roman" w:eastAsia="Calibri" w:hAnsi="Times New Roman" w:cs="Times New Roman"/>
          <w:b/>
          <w:color w:val="000000"/>
        </w:rPr>
      </w:pPr>
      <w:r w:rsidRPr="006A7DA3">
        <w:rPr>
          <w:rFonts w:ascii="Times New Roman" w:eastAsia="Calibri" w:hAnsi="Times New Roman" w:cs="Times New Roman"/>
          <w:b/>
          <w:color w:val="000000"/>
        </w:rPr>
        <w:t xml:space="preserve">1.Требования для составления сметной документации </w:t>
      </w:r>
      <w:proofErr w:type="spellStart"/>
      <w:r w:rsidRPr="006A7DA3">
        <w:rPr>
          <w:rFonts w:ascii="Times New Roman" w:eastAsia="Calibri" w:hAnsi="Times New Roman" w:cs="Times New Roman"/>
          <w:b/>
          <w:color w:val="000000"/>
        </w:rPr>
        <w:t>базисно-индексным</w:t>
      </w:r>
      <w:proofErr w:type="spellEnd"/>
      <w:r w:rsidRPr="006A7DA3">
        <w:rPr>
          <w:rFonts w:ascii="Times New Roman" w:eastAsia="Calibri" w:hAnsi="Times New Roman" w:cs="Times New Roman"/>
          <w:b/>
          <w:color w:val="000000"/>
        </w:rPr>
        <w:t xml:space="preserve">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B663AD" w:rsidRPr="006A7DA3" w:rsidTr="005418B8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B663AD" w:rsidRPr="006A7DA3" w:rsidTr="005418B8">
        <w:trPr>
          <w:trHeight w:val="262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B663AD" w:rsidRPr="006A7DA3" w:rsidTr="005418B8">
        <w:trPr>
          <w:trHeight w:val="749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B663AD" w:rsidRPr="006A7DA3" w:rsidTr="005418B8">
        <w:trPr>
          <w:trHeight w:val="749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маш-час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772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гипер-ссылка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сети-Интернет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63AD" w:rsidRPr="006A7DA3" w:rsidTr="005418B8">
        <w:trPr>
          <w:trHeight w:val="772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3731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гипер-ссылка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</w:t>
            </w:r>
            <w:proofErr w:type="spellStart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сети-Интернет</w:t>
            </w:r>
            <w:proofErr w:type="spellEnd"/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263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263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510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350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381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B663AD" w:rsidRPr="006A7DA3" w:rsidRDefault="00B663AD" w:rsidP="005418B8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B663AD" w:rsidRPr="006A7DA3" w:rsidRDefault="00B663AD" w:rsidP="005418B8">
            <w:pPr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985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B663AD" w:rsidRPr="006A7DA3" w:rsidRDefault="00B663AD" w:rsidP="005418B8">
            <w:pPr>
              <w:ind w:left="2" w:right="8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530"/>
          <w:jc w:val="center"/>
        </w:trPr>
        <w:tc>
          <w:tcPr>
            <w:tcW w:w="598" w:type="dxa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B663AD" w:rsidRPr="006A7DA3" w:rsidRDefault="00B663AD" w:rsidP="005418B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663AD" w:rsidRPr="006A7DA3" w:rsidRDefault="00B663AD" w:rsidP="00B663AD">
      <w:pPr>
        <w:tabs>
          <w:tab w:val="left" w:pos="7300"/>
        </w:tabs>
        <w:jc w:val="center"/>
        <w:rPr>
          <w:rFonts w:ascii="Times New Roman" w:eastAsia="Calibri" w:hAnsi="Times New Roman" w:cs="Times New Roman"/>
          <w:b/>
        </w:rPr>
      </w:pPr>
      <w:r w:rsidRPr="006A7DA3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B663AD" w:rsidRPr="006A7DA3" w:rsidTr="005418B8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68" w:type="dxa"/>
            <w:shd w:val="clear" w:color="auto" w:fill="auto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B663AD" w:rsidRPr="006A7DA3" w:rsidTr="005418B8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663AD" w:rsidRPr="006A7DA3" w:rsidTr="005418B8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B663AD" w:rsidRPr="006A7DA3" w:rsidRDefault="00B663AD" w:rsidP="005418B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B663AD" w:rsidRPr="006A7DA3" w:rsidRDefault="00B663AD" w:rsidP="005418B8">
            <w:pPr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B663AD" w:rsidRPr="006A7DA3" w:rsidTr="005418B8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маш-час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B663AD" w:rsidRPr="006A7DA3" w:rsidTr="005418B8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гипер-ссылка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условии получения информации из открытых источников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сети-Интернет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каждой строке локальной сметы, где стоимость материалов определена по коммерческим предложениям, прайс-листам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поставщиков необходима расшифровка ценообразования.</w:t>
            </w:r>
          </w:p>
        </w:tc>
      </w:tr>
      <w:tr w:rsidR="00B663AD" w:rsidRPr="006A7DA3" w:rsidTr="005418B8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ind w:right="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B663AD" w:rsidRPr="006A7DA3" w:rsidTr="005418B8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гипер-ссылка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при условии получения информации из открытых источников </w:t>
            </w:r>
            <w:proofErr w:type="spellStart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сети-Интернет</w:t>
            </w:r>
            <w:proofErr w:type="spellEnd"/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B663AD" w:rsidRPr="006A7DA3" w:rsidRDefault="00B663AD" w:rsidP="005418B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B663AD" w:rsidRPr="006A7DA3" w:rsidRDefault="00B663AD" w:rsidP="005418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63AD" w:rsidRPr="006A7DA3" w:rsidTr="005418B8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B663AD" w:rsidRPr="006A7DA3" w:rsidTr="005418B8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B663AD" w:rsidRPr="006A7DA3" w:rsidTr="005418B8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B663AD" w:rsidRPr="006A7DA3" w:rsidRDefault="00B663AD" w:rsidP="005418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B663AD" w:rsidRPr="006A7DA3" w:rsidTr="005418B8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B663AD" w:rsidRPr="006A7DA3" w:rsidTr="005418B8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B663AD" w:rsidRPr="006A7DA3" w:rsidTr="005418B8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вывоза демонтированных материалов и конструкций, вид транспорта, дальность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транспортировки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</w:t>
            </w: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стоимости материалов от разборки.</w:t>
            </w:r>
          </w:p>
        </w:tc>
      </w:tr>
      <w:tr w:rsidR="00B663AD" w:rsidRPr="006A7DA3" w:rsidTr="005418B8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168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B663AD" w:rsidRPr="006A7DA3" w:rsidRDefault="00B663AD" w:rsidP="005418B8">
            <w:pPr>
              <w:widowControl w:val="0"/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B663AD" w:rsidRPr="006A7DA3" w:rsidRDefault="00B663AD" w:rsidP="005418B8">
            <w:pPr>
              <w:ind w:left="2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DA3">
              <w:rPr>
                <w:rFonts w:ascii="Times New Roman" w:eastAsia="Calibri" w:hAnsi="Times New Roman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B663AD" w:rsidRPr="006A7DA3" w:rsidRDefault="00B663AD" w:rsidP="00B663AD">
      <w:pPr>
        <w:tabs>
          <w:tab w:val="left" w:pos="720"/>
        </w:tabs>
        <w:jc w:val="both"/>
        <w:rPr>
          <w:rFonts w:ascii="Times New Roman" w:eastAsia="Calibri" w:hAnsi="Times New Roman" w:cs="Times New Roman"/>
          <w:color w:val="000000"/>
        </w:rPr>
      </w:pPr>
      <w:r w:rsidRPr="006A7DA3">
        <w:rPr>
          <w:rFonts w:ascii="Times New Roman" w:eastAsia="Calibri" w:hAnsi="Times New Roman" w:cs="Times New Roman"/>
          <w:color w:val="000000"/>
        </w:rPr>
        <w:t>* Требования по формированию 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6A7DA3">
        <w:rPr>
          <w:rFonts w:ascii="Times New Roman" w:eastAsia="Calibri" w:hAnsi="Times New Roman" w:cs="Times New Roman"/>
          <w:color w:val="000000"/>
        </w:rPr>
        <w:t>Краснодаркрайгосэкспертиза</w:t>
      </w:r>
      <w:proofErr w:type="spellEnd"/>
      <w:r w:rsidRPr="006A7DA3">
        <w:rPr>
          <w:rFonts w:ascii="Times New Roman" w:eastAsia="Calibri" w:hAnsi="Times New Roman" w:cs="Times New Roman"/>
          <w:color w:val="000000"/>
        </w:rPr>
        <w:t xml:space="preserve">»,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B663AD" w:rsidRPr="00BD11AF" w:rsidRDefault="00B663AD" w:rsidP="00B663AD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81DC3" w:rsidRPr="00E81DC3" w:rsidRDefault="00F81450" w:rsidP="00E81DC3">
      <w:pPr>
        <w:pStyle w:val="a8"/>
        <w:spacing w:line="221" w:lineRule="auto"/>
        <w:jc w:val="right"/>
        <w:rPr>
          <w:bCs/>
        </w:rPr>
      </w:pPr>
      <w:r w:rsidRPr="00F81450">
        <w:rPr>
          <w:i/>
        </w:rPr>
        <w:br w:type="page"/>
      </w:r>
      <w:r w:rsidR="00E81DC3" w:rsidRPr="00E81DC3">
        <w:rPr>
          <w:bCs/>
        </w:rPr>
        <w:lastRenderedPageBreak/>
        <w:t>Приложение № 3</w:t>
      </w:r>
    </w:p>
    <w:p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:rsidR="00BB22F9" w:rsidRPr="004B028D" w:rsidRDefault="00BB22F9" w:rsidP="00BB22F9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</w:t>
      </w:r>
      <w:r w:rsidR="00983B5A" w:rsidRPr="004B028D">
        <w:rPr>
          <w:rFonts w:ascii="Times New Roman" w:eastAsia="Times New Roman" w:hAnsi="Times New Roman" w:cs="Times New Roman"/>
          <w:lang w:eastAsia="ru-RU"/>
        </w:rPr>
        <w:t xml:space="preserve">работ по </w:t>
      </w:r>
      <w:r w:rsidR="00983B5A">
        <w:rPr>
          <w:rFonts w:ascii="Times New Roman" w:eastAsia="Times New Roman" w:hAnsi="Times New Roman" w:cs="Times New Roman"/>
          <w:lang w:eastAsia="ru-RU"/>
        </w:rPr>
        <w:t>ремонту раздвижных перегородок с внешней отделкой в конференц</w:t>
      </w:r>
      <w:r w:rsidR="00B358CD">
        <w:rPr>
          <w:rFonts w:ascii="Times New Roman" w:eastAsia="Times New Roman" w:hAnsi="Times New Roman" w:cs="Times New Roman"/>
          <w:lang w:eastAsia="ru-RU"/>
        </w:rPr>
        <w:t>-</w:t>
      </w:r>
      <w:r w:rsidR="00983B5A">
        <w:rPr>
          <w:rFonts w:ascii="Times New Roman" w:eastAsia="Times New Roman" w:hAnsi="Times New Roman" w:cs="Times New Roman"/>
          <w:lang w:eastAsia="ru-RU"/>
        </w:rPr>
        <w:t>зале Лермонтов отеля «Горки Гранд»</w:t>
      </w:r>
    </w:p>
    <w:p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B358CD" w:rsidRPr="00B81E2A" w:rsidRDefault="00B358CD" w:rsidP="00B358CD">
      <w:pPr>
        <w:rPr>
          <w:rFonts w:ascii="Times New Roman" w:eastAsia="Calibri" w:hAnsi="Times New Roman" w:cs="Times New Roman"/>
          <w:i/>
          <w:iCs/>
        </w:rPr>
      </w:pPr>
      <w:r w:rsidRPr="00B81E2A">
        <w:rPr>
          <w:rFonts w:ascii="Times New Roman" w:eastAsia="Calibri" w:hAnsi="Times New Roman" w:cs="Times New Roman"/>
          <w:i/>
        </w:rPr>
        <w:t xml:space="preserve">* </w:t>
      </w:r>
      <w:r w:rsidRPr="00B81E2A">
        <w:rPr>
          <w:rFonts w:ascii="Times New Roman" w:eastAsia="Calibri" w:hAnsi="Times New Roman" w:cs="Times New Roman"/>
          <w:i/>
          <w:iCs/>
        </w:rPr>
        <w:t>Заполняется победителем закупки или участником закупки,</w:t>
      </w:r>
      <w:r w:rsidRPr="00B81E2A">
        <w:rPr>
          <w:rFonts w:ascii="Times New Roman" w:eastAsia="Calibri" w:hAnsi="Times New Roman" w:cs="Times New Roman"/>
          <w:color w:val="000000"/>
        </w:rPr>
        <w:t xml:space="preserve"> </w:t>
      </w:r>
      <w:r w:rsidRPr="00B81E2A">
        <w:rPr>
          <w:rFonts w:ascii="Times New Roman" w:eastAsia="Calibri" w:hAnsi="Times New Roman" w:cs="Times New Roman"/>
          <w:i/>
          <w:iCs/>
        </w:rPr>
        <w:t>с которым заключается договор в течение 2 (двух) рабочих дней с даты подписания договора</w:t>
      </w:r>
    </w:p>
    <w:p w:rsidR="00F81450" w:rsidRDefault="00F81450" w:rsidP="00B358CD">
      <w:pPr>
        <w:spacing w:after="0" w:line="240" w:lineRule="auto"/>
      </w:pPr>
    </w:p>
    <w:sectPr w:rsidR="00F81450" w:rsidSect="00F01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56" w:rsidRDefault="00DB0356" w:rsidP="00005840">
      <w:pPr>
        <w:spacing w:after="0" w:line="240" w:lineRule="auto"/>
      </w:pPr>
      <w:r>
        <w:separator/>
      </w:r>
    </w:p>
  </w:endnote>
  <w:endnote w:type="continuationSeparator" w:id="0">
    <w:p w:rsidR="00DB0356" w:rsidRDefault="00DB0356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56" w:rsidRDefault="00DB0356" w:rsidP="00005840">
      <w:pPr>
        <w:spacing w:after="0" w:line="240" w:lineRule="auto"/>
      </w:pPr>
      <w:r>
        <w:separator/>
      </w:r>
    </w:p>
  </w:footnote>
  <w:footnote w:type="continuationSeparator" w:id="0">
    <w:p w:rsidR="00DB0356" w:rsidRDefault="00DB0356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BDD"/>
    <w:rsid w:val="00005840"/>
    <w:rsid w:val="00071C3D"/>
    <w:rsid w:val="00085569"/>
    <w:rsid w:val="000B3D3C"/>
    <w:rsid w:val="001227DD"/>
    <w:rsid w:val="00125B55"/>
    <w:rsid w:val="00155551"/>
    <w:rsid w:val="003065B9"/>
    <w:rsid w:val="003B329F"/>
    <w:rsid w:val="004B028D"/>
    <w:rsid w:val="005772CF"/>
    <w:rsid w:val="006A7DA3"/>
    <w:rsid w:val="006E629A"/>
    <w:rsid w:val="00713DD2"/>
    <w:rsid w:val="00731006"/>
    <w:rsid w:val="0073558A"/>
    <w:rsid w:val="00787346"/>
    <w:rsid w:val="0079728B"/>
    <w:rsid w:val="00801501"/>
    <w:rsid w:val="009107CF"/>
    <w:rsid w:val="0097052F"/>
    <w:rsid w:val="00983B5A"/>
    <w:rsid w:val="0099412C"/>
    <w:rsid w:val="00A20016"/>
    <w:rsid w:val="00B358CD"/>
    <w:rsid w:val="00B359AB"/>
    <w:rsid w:val="00B663AD"/>
    <w:rsid w:val="00B80DF2"/>
    <w:rsid w:val="00B81E2A"/>
    <w:rsid w:val="00BB22F9"/>
    <w:rsid w:val="00BC7F1E"/>
    <w:rsid w:val="00BD11AF"/>
    <w:rsid w:val="00BD26F8"/>
    <w:rsid w:val="00BD3B4B"/>
    <w:rsid w:val="00C82DBD"/>
    <w:rsid w:val="00CB3242"/>
    <w:rsid w:val="00CD08E4"/>
    <w:rsid w:val="00D107BE"/>
    <w:rsid w:val="00D3359F"/>
    <w:rsid w:val="00D6151E"/>
    <w:rsid w:val="00DB0356"/>
    <w:rsid w:val="00E81DC3"/>
    <w:rsid w:val="00F0158C"/>
    <w:rsid w:val="00F33BDD"/>
    <w:rsid w:val="00F81450"/>
    <w:rsid w:val="00F87C13"/>
    <w:rsid w:val="00FB1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a.ryndina</cp:lastModifiedBy>
  <cp:revision>16</cp:revision>
  <cp:lastPrinted>2017-07-25T12:30:00Z</cp:lastPrinted>
  <dcterms:created xsi:type="dcterms:W3CDTF">2017-09-20T12:52:00Z</dcterms:created>
  <dcterms:modified xsi:type="dcterms:W3CDTF">2018-03-07T08:18:00Z</dcterms:modified>
</cp:coreProperties>
</file>