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2B1011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F04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F46BD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2B10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2B1011" w:rsidRDefault="000B4228" w:rsidP="000B422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B1011">
              <w:rPr>
                <w:rFonts w:ascii="Times New Roman" w:hAnsi="Times New Roman" w:cs="Times New Roman"/>
                <w:sz w:val="24"/>
                <w:szCs w:val="24"/>
              </w:rPr>
              <w:t>«Оказание услуг по разработке документации - заключения о независимой оценке пожарного риска объектов Заказчика»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2B1011" w:rsidRDefault="007A37E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B1011">
              <w:t xml:space="preserve">354392, Россия, Краснодарский край, г. Сочи, Адлерский район, с. </w:t>
            </w:r>
            <w:proofErr w:type="spellStart"/>
            <w:r w:rsidRPr="002B1011">
              <w:t>Эсто</w:t>
            </w:r>
            <w:proofErr w:type="spellEnd"/>
            <w:r w:rsidRPr="002B1011">
              <w:t>-Садок, Курорт Красная Поляна, отм.+540м, +960м.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</w:t>
            </w:r>
            <w:r w:rsidR="00DB40E2" w:rsidRPr="00DB40E2">
              <w:lastRenderedPageBreak/>
              <w:t>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923F04" w:rsidRDefault="00D2702E" w:rsidP="00923F0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3F0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</w:t>
            </w:r>
            <w:r w:rsidR="00D2702E" w:rsidRPr="00EE1EE2">
              <w:rPr>
                <w:i/>
                <w:szCs w:val="24"/>
              </w:rPr>
              <w:lastRenderedPageBreak/>
              <w:t>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620E29" w:rsidRPr="00EE1EE2" w:rsidRDefault="00620E29" w:rsidP="0084497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20E29">
              <w:rPr>
                <w:szCs w:val="24"/>
              </w:rPr>
              <w:t>8)</w:t>
            </w:r>
            <w:r>
              <w:t xml:space="preserve"> п</w:t>
            </w:r>
            <w:r w:rsidRPr="00620E29">
              <w:rPr>
                <w:szCs w:val="24"/>
              </w:rPr>
              <w:t xml:space="preserve">роведение независимой оценки пожарного риска (аудита пожарной безопасности) должно являться одним из основных видов деятельности </w:t>
            </w:r>
            <w:r w:rsidR="0084497E">
              <w:rPr>
                <w:szCs w:val="24"/>
              </w:rPr>
              <w:t>участника закупки</w:t>
            </w:r>
            <w:r w:rsidRPr="00620E29">
              <w:rPr>
                <w:szCs w:val="24"/>
              </w:rPr>
              <w:t xml:space="preserve">, предусмотренным учредительными документами </w:t>
            </w:r>
            <w:r w:rsidR="0084497E">
              <w:rPr>
                <w:szCs w:val="24"/>
              </w:rPr>
              <w:t>участника закупки</w:t>
            </w:r>
            <w:r w:rsidRPr="00620E29">
              <w:rPr>
                <w:szCs w:val="24"/>
              </w:rPr>
              <w:t xml:space="preserve"> (ОКВЭД 71.20.8 "Сертификация продукции, услуг и организаций").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44225" w:rsidRPr="00C05A5E" w:rsidRDefault="0084497E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t>9</w:t>
            </w:r>
            <w:r w:rsidR="00944225" w:rsidRPr="00C05A5E">
              <w:rPr>
                <w:rFonts w:ascii="Times New Roman" w:hAnsi="Times New Roman"/>
                <w:sz w:val="24"/>
                <w:szCs w:val="24"/>
              </w:rPr>
              <w:t xml:space="preserve">) Наличие у участника закупки действующей системы менеджмента качества </w:t>
            </w:r>
            <w:r w:rsidR="00942F90" w:rsidRPr="00C05A5E">
              <w:rPr>
                <w:rFonts w:ascii="Times New Roman" w:hAnsi="Times New Roman"/>
                <w:sz w:val="24"/>
                <w:szCs w:val="24"/>
              </w:rPr>
              <w:tab/>
              <w:t xml:space="preserve">по стандартам ISO 9001:2015 (ГОСТ </w:t>
            </w:r>
            <w:proofErr w:type="gramStart"/>
            <w:r w:rsidR="00942F90" w:rsidRPr="00C05A5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942F90" w:rsidRPr="00C05A5E">
              <w:rPr>
                <w:rFonts w:ascii="Times New Roman" w:hAnsi="Times New Roman"/>
                <w:sz w:val="24"/>
                <w:szCs w:val="24"/>
              </w:rPr>
              <w:t xml:space="preserve"> ИСО 9001-2015) или ГОСТ ISO 9001-2011 </w:t>
            </w:r>
          </w:p>
          <w:p w:rsidR="00B67569" w:rsidRPr="00C05A5E" w:rsidRDefault="00942F90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t>(</w:t>
            </w:r>
            <w:r w:rsidR="00944225" w:rsidRPr="00C05A5E">
              <w:rPr>
                <w:rFonts w:ascii="Times New Roman" w:hAnsi="Times New Roman"/>
                <w:sz w:val="24"/>
                <w:szCs w:val="24"/>
              </w:rPr>
              <w:t xml:space="preserve">С предоставлением </w:t>
            </w:r>
            <w:r w:rsidR="0042734C" w:rsidRPr="00C05A5E">
              <w:rPr>
                <w:rFonts w:ascii="Times New Roman" w:hAnsi="Times New Roman"/>
                <w:sz w:val="24"/>
                <w:szCs w:val="24"/>
              </w:rPr>
              <w:t>в</w:t>
            </w:r>
            <w:r w:rsidR="00944225" w:rsidRPr="00C05A5E">
              <w:rPr>
                <w:rFonts w:ascii="Times New Roman" w:hAnsi="Times New Roman"/>
                <w:sz w:val="24"/>
                <w:szCs w:val="24"/>
              </w:rPr>
              <w:t xml:space="preserve"> составе заявки</w:t>
            </w:r>
            <w:r w:rsidR="0042734C" w:rsidRPr="00C0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61B3" w:rsidRPr="00C05A5E">
              <w:rPr>
                <w:rFonts w:ascii="Times New Roman" w:hAnsi="Times New Roman"/>
                <w:sz w:val="24"/>
                <w:szCs w:val="24"/>
              </w:rPr>
              <w:t>копий</w:t>
            </w:r>
            <w:r w:rsidR="0042734C" w:rsidRPr="00C05A5E">
              <w:rPr>
                <w:rFonts w:ascii="Times New Roman" w:hAnsi="Times New Roman"/>
                <w:sz w:val="24"/>
                <w:szCs w:val="24"/>
              </w:rPr>
              <w:t xml:space="preserve"> подтверждающих документов: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сертификат ISO 9001:2015 (ГОСТ </w:t>
            </w:r>
            <w:proofErr w:type="gramStart"/>
            <w:r w:rsidRPr="00C05A5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ИСО 9001-2015) или ГОСТ ISO 9001-2011 по профилю оказываемых услуг, а также копию отчета о внутреннем аудите системы менеджмента качества ISO 9001:2015 или ГОСТ ISO 9001-2011).</w:t>
            </w:r>
          </w:p>
          <w:p w:rsidR="00E40772" w:rsidRPr="00C05A5E" w:rsidRDefault="0084497E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t>10</w:t>
            </w:r>
            <w:r w:rsidR="002D61B3" w:rsidRPr="00C05A5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B228F0" w:rsidRPr="00C05A5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систем</w:t>
            </w:r>
            <w:r w:rsidR="00C02A12" w:rsidRPr="00C05A5E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контроля качества</w:t>
            </w:r>
            <w:r w:rsidR="00E40772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>отдельн</w:t>
            </w:r>
            <w:r w:rsidR="00C02A12" w:rsidRPr="00C05A5E">
              <w:rPr>
                <w:rFonts w:ascii="Times New Roman" w:hAnsi="Times New Roman"/>
                <w:iCs/>
                <w:sz w:val="24"/>
                <w:szCs w:val="24"/>
              </w:rPr>
              <w:t>ого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департамент</w:t>
            </w:r>
            <w:r w:rsidR="00E40772" w:rsidRPr="00C05A5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(подразделени</w:t>
            </w:r>
            <w:r w:rsidR="00E40772" w:rsidRPr="00C05A5E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), который занимается периодической проверкой качества оказания услуг на объекте Заказчика. </w:t>
            </w:r>
          </w:p>
          <w:p w:rsidR="009F1FE3" w:rsidRPr="00C05A5E" w:rsidRDefault="00E40772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>(С предоставлением в составе заявки копий подтверждающих документов</w:t>
            </w:r>
            <w:r w:rsidR="009F1FE3" w:rsidRPr="00C05A5E">
              <w:rPr>
                <w:rFonts w:ascii="Times New Roman" w:hAnsi="Times New Roman"/>
                <w:iCs/>
                <w:sz w:val="24"/>
                <w:szCs w:val="24"/>
              </w:rPr>
              <w:t>, заверенных участнико</w:t>
            </w:r>
            <w:r w:rsidR="00704716" w:rsidRPr="00C05A5E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="009F1FE3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закупки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proofErr w:type="gramEnd"/>
          </w:p>
          <w:p w:rsidR="009F1FE3" w:rsidRPr="00C05A5E" w:rsidRDefault="009F1FE3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>риказ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(распоряжение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или 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>иной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официальн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>ый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нормативно/распорядительн</w:t>
            </w:r>
            <w:r w:rsidR="009D17DA" w:rsidRPr="00C05A5E">
              <w:rPr>
                <w:rFonts w:ascii="Times New Roman" w:hAnsi="Times New Roman"/>
                <w:iCs/>
                <w:sz w:val="24"/>
                <w:szCs w:val="24"/>
              </w:rPr>
              <w:t>ый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документ</w:t>
            </w:r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о создании подразделе</w:t>
            </w:r>
            <w:r w:rsidR="00B82ACC" w:rsidRPr="00C05A5E">
              <w:rPr>
                <w:rFonts w:ascii="Times New Roman" w:hAnsi="Times New Roman"/>
                <w:iCs/>
                <w:sz w:val="24"/>
                <w:szCs w:val="24"/>
              </w:rPr>
              <w:t>ния внутреннего аудита качества;</w:t>
            </w:r>
          </w:p>
          <w:p w:rsidR="00B82ACC" w:rsidRPr="00C05A5E" w:rsidRDefault="00B82ACC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>- документ</w:t>
            </w:r>
            <w:r w:rsidRPr="00C05A5E">
              <w:rPr>
                <w:rFonts w:ascii="Times New Roman" w:hAnsi="Times New Roman"/>
                <w:bCs/>
                <w:iCs/>
                <w:sz w:val="24"/>
                <w:szCs w:val="24"/>
              </w:rPr>
              <w:t>, регламентирующий</w:t>
            </w:r>
            <w:r w:rsidR="00B228F0" w:rsidRPr="00C05A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деятельность  подразделения внутреннего аудита с описанием структуры и функционала подразделения внутреннего аудита качества</w:t>
            </w:r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="00B228F0"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67569" w:rsidRPr="00C05A5E" w:rsidRDefault="00704716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B228F0" w:rsidRPr="00C05A5E">
              <w:rPr>
                <w:rFonts w:ascii="Times New Roman" w:hAnsi="Times New Roman"/>
                <w:bCs/>
                <w:iCs/>
                <w:sz w:val="24"/>
                <w:szCs w:val="24"/>
              </w:rPr>
              <w:t>Дополнительно предоставляется пример заполненного отчета с результатами внутреннего аудита качества объекта (объектов) подразделением внутреннего аудита качества.</w:t>
            </w:r>
          </w:p>
          <w:p w:rsidR="00FC79AB" w:rsidRPr="00C05A5E" w:rsidRDefault="0084497E" w:rsidP="00B778E5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t>11</w:t>
            </w:r>
            <w:r w:rsidR="00704716" w:rsidRPr="00C05A5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2AC1" w:rsidRPr="00C05A5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в  </w:t>
            </w:r>
            <w:proofErr w:type="gramStart"/>
            <w:r w:rsidR="000A2AC1" w:rsidRPr="00C05A5E">
              <w:rPr>
                <w:rFonts w:ascii="Times New Roman" w:hAnsi="Times New Roman"/>
                <w:sz w:val="24"/>
                <w:szCs w:val="24"/>
              </w:rPr>
              <w:t>штате</w:t>
            </w:r>
            <w:proofErr w:type="gramEnd"/>
            <w:r w:rsidR="000A2AC1" w:rsidRPr="00C05A5E">
              <w:rPr>
                <w:rFonts w:ascii="Times New Roman" w:hAnsi="Times New Roman"/>
                <w:sz w:val="24"/>
                <w:szCs w:val="24"/>
              </w:rPr>
              <w:t xml:space="preserve"> не менее 5 (пяти) экспертов в области оценки пожарного риска, аттестованных в порядке, установленном Постановлением Правительства РФ от 26.05.2018 № 602 </w:t>
            </w:r>
          </w:p>
          <w:p w:rsidR="00C00C86" w:rsidRPr="00C05A5E" w:rsidRDefault="00FC79AB" w:rsidP="0084497E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5A5E">
              <w:rPr>
                <w:rFonts w:ascii="Times New Roman" w:hAnsi="Times New Roman"/>
                <w:sz w:val="24"/>
                <w:szCs w:val="24"/>
              </w:rPr>
              <w:t>(С предоставлением в составе заявки копий подтверждающих документов</w:t>
            </w:r>
            <w:r w:rsidR="0047737A" w:rsidRPr="00C05A5E">
              <w:rPr>
                <w:rFonts w:ascii="Times New Roman" w:hAnsi="Times New Roman"/>
                <w:sz w:val="24"/>
                <w:szCs w:val="24"/>
              </w:rPr>
              <w:t xml:space="preserve">: выписка из </w:t>
            </w:r>
            <w:r w:rsidR="000A2AC1" w:rsidRPr="00C05A5E">
              <w:rPr>
                <w:rFonts w:ascii="Times New Roman" w:hAnsi="Times New Roman"/>
                <w:sz w:val="24"/>
                <w:szCs w:val="24"/>
              </w:rPr>
              <w:t xml:space="preserve"> штатного расписания и/или копиями трудовых договоров, а также копиями квалификационных свидетельств МЧС России и предоставлением сведений о нахождении экспертов в  Реестре должностных лиц, аттестованных на осуществление деятельности в области независимой оценки пожарного риска (аудита пожарной безопасности и сведений о каждом эксперте из указанного Реестра).</w:t>
            </w:r>
            <w:proofErr w:type="gramEnd"/>
          </w:p>
          <w:p w:rsidR="00636AD2" w:rsidRPr="00C05A5E" w:rsidRDefault="00BE2ABD" w:rsidP="00BE2ABD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lastRenderedPageBreak/>
              <w:t>12)</w:t>
            </w:r>
            <w:r w:rsidRPr="00C05A5E">
              <w:t xml:space="preserve">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 опыта </w:t>
            </w:r>
            <w:r w:rsidR="00636AD2" w:rsidRPr="00C05A5E">
              <w:rPr>
                <w:rFonts w:ascii="Times New Roman" w:hAnsi="Times New Roman"/>
                <w:sz w:val="24"/>
                <w:szCs w:val="24"/>
              </w:rPr>
              <w:t>оказания услуг, аналогичных предмету закупки, в том числе и объемам оказанных услуг</w:t>
            </w:r>
            <w:r w:rsidR="004A236C" w:rsidRPr="00C05A5E">
              <w:rPr>
                <w:rFonts w:ascii="Times New Roman" w:hAnsi="Times New Roman"/>
                <w:sz w:val="24"/>
                <w:szCs w:val="24"/>
              </w:rPr>
              <w:t>, за период 2019 г</w:t>
            </w:r>
            <w:r w:rsidR="008E4D7F" w:rsidRPr="00C05A5E">
              <w:rPr>
                <w:rFonts w:ascii="Times New Roman" w:hAnsi="Times New Roman"/>
                <w:sz w:val="24"/>
                <w:szCs w:val="24"/>
              </w:rPr>
              <w:t>.</w:t>
            </w:r>
            <w:r w:rsidR="004A236C" w:rsidRPr="00C0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2ABD" w:rsidRPr="007A37EC" w:rsidRDefault="008E4D7F" w:rsidP="00E465E0">
            <w:pPr>
              <w:pStyle w:val="ConsPlusNormal"/>
              <w:ind w:left="34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05A5E">
              <w:rPr>
                <w:rFonts w:ascii="Times New Roman" w:hAnsi="Times New Roman"/>
                <w:sz w:val="24"/>
                <w:szCs w:val="24"/>
              </w:rPr>
              <w:t xml:space="preserve">(С предоставлением в составе заявки копий подтверждающих документов: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не менее чем </w:t>
            </w:r>
            <w:r w:rsidR="009745B0" w:rsidRPr="00C05A5E">
              <w:rPr>
                <w:rFonts w:ascii="Times New Roman" w:hAnsi="Times New Roman"/>
                <w:sz w:val="24"/>
                <w:szCs w:val="24"/>
              </w:rPr>
              <w:t xml:space="preserve">5 (пять)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>исполнительны</w:t>
            </w:r>
            <w:r w:rsidR="009745B0" w:rsidRPr="00C05A5E">
              <w:rPr>
                <w:rFonts w:ascii="Times New Roman" w:hAnsi="Times New Roman"/>
                <w:sz w:val="24"/>
                <w:szCs w:val="24"/>
              </w:rPr>
              <w:t>х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9745B0" w:rsidRPr="00C05A5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и акт</w:t>
            </w:r>
            <w:r w:rsidR="009745B0" w:rsidRPr="00C05A5E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выполненных работ на общую сумму не менее</w:t>
            </w:r>
            <w:proofErr w:type="gramStart"/>
            <w:r w:rsidR="009745B0" w:rsidRPr="00C05A5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="009745B0" w:rsidRPr="00C05A5E">
              <w:rPr>
                <w:rFonts w:ascii="Times New Roman" w:hAnsi="Times New Roman"/>
                <w:sz w:val="24"/>
                <w:szCs w:val="24"/>
              </w:rPr>
              <w:t xml:space="preserve"> чем начальная (максимальная) цена лота</w:t>
            </w:r>
            <w:r w:rsidR="00E465E0" w:rsidRPr="00C05A5E">
              <w:rPr>
                <w:rFonts w:ascii="Times New Roman" w:hAnsi="Times New Roman"/>
                <w:sz w:val="24"/>
                <w:szCs w:val="24"/>
              </w:rPr>
              <w:t xml:space="preserve">, два из которых </w:t>
            </w:r>
            <w:r w:rsidR="009745B0" w:rsidRPr="00C05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должны подтверждать успешное </w:t>
            </w:r>
            <w:r w:rsidR="00E465E0" w:rsidRPr="00C05A5E">
              <w:rPr>
                <w:rFonts w:ascii="Times New Roman" w:hAnsi="Times New Roman"/>
                <w:sz w:val="24"/>
                <w:szCs w:val="24"/>
              </w:rPr>
              <w:t xml:space="preserve">оказание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таких </w:t>
            </w:r>
            <w:r w:rsidR="00E465E0" w:rsidRPr="00C05A5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Pr="00C05A5E">
              <w:rPr>
                <w:rFonts w:ascii="Times New Roman" w:hAnsi="Times New Roman"/>
                <w:sz w:val="24"/>
                <w:szCs w:val="24"/>
              </w:rPr>
              <w:t xml:space="preserve"> на объектах гостиничной индустрии (гостиницы, отели, санатории, дома отдыха, пансионаты и т.п.)</w:t>
            </w:r>
            <w:r w:rsidR="00E465E0" w:rsidRPr="00C05A5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3F0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4" w:rsidRPr="00A6063C" w:rsidRDefault="00923F04" w:rsidP="00923F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F04" w:rsidRPr="00A6063C" w:rsidRDefault="00923F04" w:rsidP="00923F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F04" w:rsidRPr="003F4EFE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23F04" w:rsidRPr="003003A8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4F5A" w:rsidRPr="00C05A5E" w:rsidRDefault="00876F4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05A5E">
              <w:rPr>
                <w:rFonts w:ascii="Times New Roman" w:hAnsi="Times New Roman" w:cs="Times New Roman"/>
                <w:sz w:val="24"/>
                <w:szCs w:val="24"/>
              </w:rPr>
              <w:t>4 080 000,00 рублей  (Четыре миллиона восемьдесят тысяч</w:t>
            </w:r>
            <w:r w:rsidR="00FC4F5A"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копеек), в </w:t>
            </w:r>
            <w:proofErr w:type="spellStart"/>
            <w:r w:rsidR="00FC4F5A" w:rsidRPr="00C05A5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FC4F5A" w:rsidRPr="00C05A5E">
              <w:rPr>
                <w:rFonts w:ascii="Times New Roman" w:hAnsi="Times New Roman" w:cs="Times New Roman"/>
                <w:sz w:val="24"/>
                <w:szCs w:val="24"/>
              </w:rPr>
              <w:t>. НДС (20%)- 680 000,00 (Шестьсот восемьдесят тысяч рублей 00 копеек);</w:t>
            </w:r>
          </w:p>
          <w:p w:rsidR="007A37EC" w:rsidRPr="00C05A5E" w:rsidRDefault="00FC4F5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572428"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3 400 000,00 (Три миллиона четыреста тысяч рублей 00 копеек) </w:t>
            </w:r>
            <w:r w:rsidRPr="00C05A5E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C05A5E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C05A5E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в </w:t>
            </w:r>
            <w:proofErr w:type="gramStart"/>
            <w:r w:rsidRPr="00C05A5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05A5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735E" w:rsidRPr="00C21D9E" w:rsidRDefault="009D055A" w:rsidP="0057242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</w:t>
            </w:r>
            <w:proofErr w:type="gramStart"/>
            <w:r w:rsidRPr="004B50B3">
              <w:rPr>
                <w:sz w:val="24"/>
                <w:szCs w:val="24"/>
              </w:rPr>
              <w:t>составе</w:t>
            </w:r>
            <w:proofErr w:type="gramEnd"/>
            <w:r w:rsidRPr="004B50B3">
              <w:rPr>
                <w:sz w:val="24"/>
                <w:szCs w:val="24"/>
              </w:rPr>
              <w:t xml:space="preserve">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724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5724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F46B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F46B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F46B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81D" w:rsidRDefault="0009281D" w:rsidP="0097081F">
      <w:pPr>
        <w:spacing w:after="0" w:line="240" w:lineRule="auto"/>
      </w:pPr>
      <w:r>
        <w:separator/>
      </w:r>
    </w:p>
  </w:endnote>
  <w:endnote w:type="continuationSeparator" w:id="0">
    <w:p w:rsidR="0009281D" w:rsidRDefault="0009281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81D" w:rsidRDefault="0009281D" w:rsidP="0097081F">
      <w:pPr>
        <w:spacing w:after="0" w:line="240" w:lineRule="auto"/>
      </w:pPr>
      <w:r>
        <w:separator/>
      </w:r>
    </w:p>
  </w:footnote>
  <w:footnote w:type="continuationSeparator" w:id="0">
    <w:p w:rsidR="0009281D" w:rsidRDefault="0009281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FFE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81D"/>
    <w:rsid w:val="00092B7E"/>
    <w:rsid w:val="000931AC"/>
    <w:rsid w:val="0009637F"/>
    <w:rsid w:val="00097444"/>
    <w:rsid w:val="000A0CBB"/>
    <w:rsid w:val="000A0F07"/>
    <w:rsid w:val="000A192D"/>
    <w:rsid w:val="000A2AC1"/>
    <w:rsid w:val="000A317E"/>
    <w:rsid w:val="000A5697"/>
    <w:rsid w:val="000A6545"/>
    <w:rsid w:val="000A6F3E"/>
    <w:rsid w:val="000B2FB8"/>
    <w:rsid w:val="000B38BF"/>
    <w:rsid w:val="000B4228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3E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011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1B3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46BD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4C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7737A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36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2428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E29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6AD2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716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37EC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497E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6F48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5D00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D7F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F04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90"/>
    <w:rsid w:val="00942FD9"/>
    <w:rsid w:val="00943171"/>
    <w:rsid w:val="00944225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45B0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7D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1FE3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8F0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569"/>
    <w:rsid w:val="00B67887"/>
    <w:rsid w:val="00B706E5"/>
    <w:rsid w:val="00B72005"/>
    <w:rsid w:val="00B728D2"/>
    <w:rsid w:val="00B72C75"/>
    <w:rsid w:val="00B756A6"/>
    <w:rsid w:val="00B75972"/>
    <w:rsid w:val="00B75A5F"/>
    <w:rsid w:val="00B778E5"/>
    <w:rsid w:val="00B80445"/>
    <w:rsid w:val="00B826DA"/>
    <w:rsid w:val="00B82ACC"/>
    <w:rsid w:val="00B83063"/>
    <w:rsid w:val="00B83A2C"/>
    <w:rsid w:val="00B8525E"/>
    <w:rsid w:val="00B856C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2ABD"/>
    <w:rsid w:val="00BE3F69"/>
    <w:rsid w:val="00BE4102"/>
    <w:rsid w:val="00BE5C51"/>
    <w:rsid w:val="00BE690C"/>
    <w:rsid w:val="00BE721F"/>
    <w:rsid w:val="00BF04F6"/>
    <w:rsid w:val="00BF0863"/>
    <w:rsid w:val="00BF12BB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2A12"/>
    <w:rsid w:val="00C03D03"/>
    <w:rsid w:val="00C04BDF"/>
    <w:rsid w:val="00C05A5E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57D88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0772"/>
    <w:rsid w:val="00E417C4"/>
    <w:rsid w:val="00E4346D"/>
    <w:rsid w:val="00E4498B"/>
    <w:rsid w:val="00E454BD"/>
    <w:rsid w:val="00E465E0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4F5A"/>
    <w:rsid w:val="00FC679F"/>
    <w:rsid w:val="00FC769A"/>
    <w:rsid w:val="00FC79AB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B78C3-B4B4-4F84-B02E-25800EA0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8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466</cp:revision>
  <cp:lastPrinted>2016-09-12T07:03:00Z</cp:lastPrinted>
  <dcterms:created xsi:type="dcterms:W3CDTF">2015-03-17T16:12:00Z</dcterms:created>
  <dcterms:modified xsi:type="dcterms:W3CDTF">2020-07-03T10:03:00Z</dcterms:modified>
</cp:coreProperties>
</file>