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D5ADA">
              <w:rPr>
                <w:rFonts w:ascii="Times New Roman" w:hAnsi="Times New Roman" w:cs="Times New Roman"/>
                <w:b/>
                <w:sz w:val="24"/>
                <w:szCs w:val="24"/>
              </w:rPr>
              <w:t>3</w:t>
            </w:r>
            <w:r w:rsidR="00B40117">
              <w:rPr>
                <w:rFonts w:ascii="Times New Roman" w:hAnsi="Times New Roman" w:cs="Times New Roman"/>
                <w:b/>
                <w:sz w:val="24"/>
                <w:szCs w:val="24"/>
              </w:rPr>
              <w:t>6</w:t>
            </w:r>
            <w:bookmarkStart w:id="0" w:name="_GoBack"/>
            <w:bookmarkEnd w:id="0"/>
            <w:r w:rsidR="00DF68FB" w:rsidRPr="00104B39">
              <w:rPr>
                <w:rFonts w:ascii="Times New Roman" w:hAnsi="Times New Roman" w:cs="Times New Roman"/>
                <w:b/>
                <w:sz w:val="24"/>
                <w:szCs w:val="24"/>
              </w:rPr>
              <w:t>-</w:t>
            </w:r>
            <w:r w:rsidR="00D6022E">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D6022E" w:rsidRPr="00D6022E">
              <w:t>Оказание услуг по предоставлению специальной гусеничной техники с экипажем</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D6022E" w:rsidP="0080691E">
            <w:pPr>
              <w:pStyle w:val="31"/>
              <w:shd w:val="clear" w:color="auto" w:fill="FFFFFF"/>
              <w:tabs>
                <w:tab w:val="clear" w:pos="227"/>
              </w:tabs>
              <w:rPr>
                <w:szCs w:val="24"/>
              </w:rPr>
            </w:pPr>
            <w:r w:rsidRPr="00D6022E">
              <w:t>Краснодарский край, г.Сочи, Адлерский район, с.Эсто-Садок, Северный склон хребта Аибга, СТК «Горная карусель» на отм. +960.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EF3EDD"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w:t>
            </w:r>
            <w:r w:rsidRPr="00C70BCE">
              <w:rPr>
                <w:rFonts w:ascii="Times New Roman" w:eastAsia="Times New Roman" w:hAnsi="Times New Roman" w:cs="Times New Roman"/>
                <w:sz w:val="24"/>
                <w:szCs w:val="24"/>
              </w:rPr>
              <w:lastRenderedPageBreak/>
              <w:t>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EF3EDD"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EF3EDD"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EF3EDD"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62576C" w:rsidRDefault="00EF3EDD" w:rsidP="0062576C">
            <w:pPr>
              <w:widowControl w:val="0"/>
              <w:spacing w:after="0" w:line="240" w:lineRule="auto"/>
              <w:ind w:left="34"/>
              <w:jc w:val="both"/>
              <w:rPr>
                <w:rFonts w:ascii="Times New Roman" w:hAnsi="Times New Roman"/>
                <w:i/>
                <w:sz w:val="24"/>
                <w:szCs w:val="24"/>
              </w:rPr>
            </w:pPr>
            <w:r>
              <w:rPr>
                <w:rFonts w:ascii="Times New Roman" w:hAnsi="Times New Roman" w:cs="Times New Roman"/>
                <w:sz w:val="24"/>
                <w:szCs w:val="24"/>
              </w:rPr>
              <w:t xml:space="preserve">8) </w:t>
            </w:r>
            <w:r w:rsidR="0062576C">
              <w:rPr>
                <w:rFonts w:ascii="Times New Roman" w:hAnsi="Times New Roman" w:cs="Times New Roman"/>
                <w:sz w:val="24"/>
                <w:szCs w:val="24"/>
              </w:rPr>
              <w:t>н</w:t>
            </w:r>
            <w:r w:rsidR="0062576C" w:rsidRPr="00465FDE">
              <w:rPr>
                <w:rFonts w:ascii="Times New Roman" w:hAnsi="Times New Roman"/>
                <w:sz w:val="24"/>
                <w:szCs w:val="24"/>
              </w:rPr>
              <w:t>аличие у участника закупки опыта по предоставлению специальной гусеничной техники</w:t>
            </w:r>
            <w:r w:rsidR="0062576C">
              <w:rPr>
                <w:rFonts w:ascii="Times New Roman" w:hAnsi="Times New Roman"/>
                <w:sz w:val="24"/>
                <w:szCs w:val="24"/>
              </w:rPr>
              <w:t xml:space="preserve"> </w:t>
            </w:r>
            <w:r w:rsidR="0062576C" w:rsidRPr="0062576C">
              <w:rPr>
                <w:rFonts w:ascii="Times New Roman" w:hAnsi="Times New Roman"/>
                <w:i/>
                <w:sz w:val="24"/>
                <w:szCs w:val="24"/>
              </w:rPr>
              <w:t>(с предоставлением не менее  2 контрактов и/или договоров, актов оказа</w:t>
            </w:r>
            <w:r w:rsidR="0062576C">
              <w:rPr>
                <w:rFonts w:ascii="Times New Roman" w:hAnsi="Times New Roman"/>
                <w:i/>
                <w:sz w:val="24"/>
                <w:szCs w:val="24"/>
              </w:rPr>
              <w:t>нных услуг</w:t>
            </w:r>
            <w:r w:rsidR="0062576C" w:rsidRPr="0062576C">
              <w:rPr>
                <w:rFonts w:ascii="Times New Roman" w:hAnsi="Times New Roman"/>
                <w:i/>
                <w:sz w:val="24"/>
                <w:szCs w:val="24"/>
              </w:rPr>
              <w:t>);</w:t>
            </w:r>
          </w:p>
          <w:p w:rsidR="0062576C" w:rsidRPr="0062576C" w:rsidRDefault="0062576C" w:rsidP="0062576C">
            <w:pPr>
              <w:widowControl w:val="0"/>
              <w:spacing w:after="0" w:line="240" w:lineRule="auto"/>
              <w:ind w:left="34"/>
              <w:jc w:val="both"/>
              <w:rPr>
                <w:rFonts w:ascii="Times New Roman" w:hAnsi="Times New Roman"/>
                <w:i/>
                <w:sz w:val="24"/>
                <w:szCs w:val="24"/>
              </w:rPr>
            </w:pPr>
            <w:r>
              <w:rPr>
                <w:rFonts w:ascii="Times New Roman" w:hAnsi="Times New Roman"/>
                <w:sz w:val="24"/>
                <w:szCs w:val="24"/>
              </w:rPr>
              <w:t>9) н</w:t>
            </w:r>
            <w:r w:rsidRPr="0062576C">
              <w:rPr>
                <w:rFonts w:ascii="Times New Roman" w:hAnsi="Times New Roman"/>
                <w:sz w:val="24"/>
                <w:szCs w:val="24"/>
              </w:rPr>
              <w:t>аличие у участника закупки положительной деловой репутации, полученной по результатам оказания услуг, аналогичны</w:t>
            </w:r>
            <w:r>
              <w:rPr>
                <w:rFonts w:ascii="Times New Roman" w:hAnsi="Times New Roman"/>
                <w:sz w:val="24"/>
                <w:szCs w:val="24"/>
              </w:rPr>
              <w:t>х</w:t>
            </w:r>
            <w:r w:rsidRPr="0062576C">
              <w:rPr>
                <w:rFonts w:ascii="Times New Roman" w:hAnsi="Times New Roman"/>
                <w:sz w:val="24"/>
                <w:szCs w:val="24"/>
              </w:rPr>
              <w:t xml:space="preserve"> предмету закупки, за период 2016-2018 гг., подтвержденной отзывами (письмами, благодарностями, дипломами, грамотами и т.п.) </w:t>
            </w:r>
            <w:r w:rsidRPr="0062576C">
              <w:rPr>
                <w:rFonts w:ascii="Times New Roman" w:hAnsi="Times New Roman"/>
                <w:i/>
                <w:sz w:val="24"/>
                <w:szCs w:val="24"/>
              </w:rPr>
              <w:t>с предоставлением копий подтверждающих документов</w:t>
            </w:r>
          </w:p>
          <w:p w:rsidR="00FC6DFE" w:rsidRPr="00B67466" w:rsidRDefault="00FC6DFE" w:rsidP="0062576C">
            <w:pPr>
              <w:widowControl w:val="0"/>
              <w:shd w:val="clear" w:color="auto" w:fill="FFFFFF"/>
              <w:spacing w:after="0" w:line="240" w:lineRule="auto"/>
              <w:contextualSpacing/>
              <w:jc w:val="both"/>
              <w:rPr>
                <w:rFonts w:ascii="Times New Roman" w:hAnsi="Times New Roman" w:cs="Times New Roman"/>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6547CA" w:rsidP="00392117">
            <w:pPr>
              <w:shd w:val="clear" w:color="auto" w:fill="FFFFFF" w:themeFill="background1"/>
              <w:spacing w:after="0" w:line="240" w:lineRule="auto"/>
              <w:jc w:val="both"/>
              <w:rPr>
                <w:rFonts w:ascii="Times New Roman" w:hAnsi="Times New Roman" w:cs="Times New Roman"/>
                <w:sz w:val="24"/>
                <w:szCs w:val="24"/>
              </w:rPr>
            </w:pPr>
            <w:r w:rsidRPr="006547CA">
              <w:rPr>
                <w:rFonts w:ascii="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6547CA" w:rsidP="00C92C66">
            <w:pPr>
              <w:spacing w:after="0" w:line="240" w:lineRule="auto"/>
              <w:jc w:val="both"/>
              <w:rPr>
                <w:rFonts w:ascii="Times New Roman" w:eastAsia="Times New Roman" w:hAnsi="Times New Roman" w:cs="Times New Roman"/>
                <w:sz w:val="24"/>
                <w:szCs w:val="24"/>
              </w:rPr>
            </w:pPr>
            <w:r w:rsidRPr="006547CA">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4259BC"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Предельная стоимость услуг по Договору (Цена Договора) не может превышать</w:t>
            </w:r>
            <w:r w:rsidR="004259BC">
              <w:rPr>
                <w:rFonts w:ascii="Times New Roman" w:hAnsi="Times New Roman"/>
                <w:sz w:val="24"/>
                <w:szCs w:val="24"/>
              </w:rPr>
              <w:t>:</w:t>
            </w:r>
          </w:p>
          <w:p w:rsidR="007C3429" w:rsidRPr="0090094F" w:rsidRDefault="004259BC" w:rsidP="003B7EA4">
            <w:pPr>
              <w:spacing w:after="0" w:line="240" w:lineRule="auto"/>
              <w:jc w:val="both"/>
              <w:rPr>
                <w:rFonts w:ascii="Times New Roman" w:hAnsi="Times New Roman"/>
                <w:b/>
                <w:sz w:val="24"/>
                <w:szCs w:val="24"/>
              </w:rPr>
            </w:pPr>
            <w:r>
              <w:rPr>
                <w:rFonts w:ascii="Times New Roman" w:hAnsi="Times New Roman"/>
                <w:sz w:val="24"/>
                <w:szCs w:val="24"/>
              </w:rPr>
              <w:t>-</w:t>
            </w:r>
            <w:r w:rsidR="007C3429" w:rsidRPr="0090094F">
              <w:rPr>
                <w:rFonts w:ascii="Times New Roman" w:hAnsi="Times New Roman"/>
                <w:sz w:val="24"/>
                <w:szCs w:val="24"/>
              </w:rPr>
              <w:t xml:space="preserve"> </w:t>
            </w:r>
            <w:r w:rsidRPr="004259BC">
              <w:rPr>
                <w:rFonts w:ascii="Times New Roman" w:hAnsi="Times New Roman"/>
                <w:b/>
                <w:sz w:val="24"/>
                <w:szCs w:val="24"/>
              </w:rPr>
              <w:t>4 356 610,18</w:t>
            </w:r>
            <w:r w:rsidR="007C3429" w:rsidRPr="0090094F">
              <w:rPr>
                <w:rFonts w:ascii="Times New Roman" w:hAnsi="Times New Roman"/>
                <w:b/>
                <w:sz w:val="24"/>
                <w:szCs w:val="24"/>
              </w:rPr>
              <w:t xml:space="preserve"> руб.</w:t>
            </w:r>
            <w:r w:rsidR="007C3429" w:rsidRPr="0090094F">
              <w:rPr>
                <w:rFonts w:ascii="Times New Roman" w:hAnsi="Times New Roman"/>
                <w:sz w:val="24"/>
                <w:szCs w:val="24"/>
              </w:rPr>
              <w:t xml:space="preserve"> (</w:t>
            </w:r>
            <w:r>
              <w:rPr>
                <w:rFonts w:ascii="Times New Roman" w:hAnsi="Times New Roman"/>
                <w:sz w:val="24"/>
                <w:szCs w:val="24"/>
              </w:rPr>
              <w:t>ч</w:t>
            </w:r>
            <w:r w:rsidRPr="004259BC">
              <w:rPr>
                <w:rFonts w:ascii="Times New Roman" w:hAnsi="Times New Roman"/>
                <w:sz w:val="24"/>
                <w:szCs w:val="24"/>
              </w:rPr>
              <w:t>етыре миллиона триста пятьдесят шесть тысяч шестьсот десять</w:t>
            </w:r>
            <w:r>
              <w:rPr>
                <w:rFonts w:ascii="Times New Roman" w:hAnsi="Times New Roman"/>
                <w:sz w:val="24"/>
                <w:szCs w:val="24"/>
              </w:rPr>
              <w:t>)</w:t>
            </w:r>
            <w:r w:rsidRPr="004259BC">
              <w:rPr>
                <w:rFonts w:ascii="Times New Roman" w:hAnsi="Times New Roman"/>
                <w:sz w:val="24"/>
                <w:szCs w:val="24"/>
              </w:rPr>
              <w:t xml:space="preserve"> рублей </w:t>
            </w:r>
            <w:r>
              <w:rPr>
                <w:rFonts w:ascii="Times New Roman" w:hAnsi="Times New Roman"/>
                <w:sz w:val="24"/>
                <w:szCs w:val="24"/>
              </w:rPr>
              <w:t>18</w:t>
            </w:r>
            <w:r w:rsidRPr="004259BC">
              <w:rPr>
                <w:rFonts w:ascii="Times New Roman" w:hAnsi="Times New Roman"/>
                <w:sz w:val="24"/>
                <w:szCs w:val="24"/>
              </w:rPr>
              <w:t xml:space="preserve"> копеек</w:t>
            </w:r>
            <w:r w:rsidR="007C3429" w:rsidRPr="0090094F">
              <w:rPr>
                <w:rFonts w:ascii="Times New Roman" w:hAnsi="Times New Roman"/>
                <w:sz w:val="24"/>
                <w:szCs w:val="24"/>
              </w:rPr>
              <w:t>, в том числе НДС (</w:t>
            </w:r>
            <w:r>
              <w:rPr>
                <w:rFonts w:ascii="Times New Roman" w:hAnsi="Times New Roman"/>
                <w:sz w:val="24"/>
                <w:szCs w:val="24"/>
              </w:rPr>
              <w:t>20</w:t>
            </w:r>
            <w:r w:rsidR="007C3429" w:rsidRPr="0090094F">
              <w:rPr>
                <w:rFonts w:ascii="Times New Roman" w:hAnsi="Times New Roman"/>
                <w:sz w:val="24"/>
                <w:szCs w:val="24"/>
              </w:rPr>
              <w:t xml:space="preserve">%) – </w:t>
            </w:r>
            <w:r w:rsidRPr="004259BC">
              <w:rPr>
                <w:rFonts w:ascii="Times New Roman" w:hAnsi="Times New Roman"/>
                <w:b/>
                <w:sz w:val="24"/>
                <w:szCs w:val="24"/>
              </w:rPr>
              <w:t>726 101,70</w:t>
            </w:r>
            <w:r w:rsidR="007C3429" w:rsidRPr="0090094F">
              <w:rPr>
                <w:rFonts w:ascii="Times New Roman" w:hAnsi="Times New Roman"/>
                <w:b/>
                <w:sz w:val="24"/>
                <w:szCs w:val="24"/>
              </w:rPr>
              <w:t xml:space="preserve"> руб</w:t>
            </w:r>
            <w:r w:rsidR="007C3429" w:rsidRPr="0090094F">
              <w:rPr>
                <w:rFonts w:ascii="Times New Roman" w:hAnsi="Times New Roman"/>
                <w:sz w:val="24"/>
                <w:szCs w:val="24"/>
              </w:rPr>
              <w:t>. (</w:t>
            </w:r>
            <w:r w:rsidR="00FC315E">
              <w:rPr>
                <w:rFonts w:ascii="Times New Roman" w:hAnsi="Times New Roman"/>
                <w:sz w:val="24"/>
                <w:szCs w:val="24"/>
              </w:rPr>
              <w:t>с</w:t>
            </w:r>
            <w:r w:rsidRPr="004259BC">
              <w:rPr>
                <w:rFonts w:ascii="Times New Roman" w:hAnsi="Times New Roman"/>
                <w:sz w:val="24"/>
                <w:szCs w:val="24"/>
              </w:rPr>
              <w:t>емьсот двадцать шесть тысяч сто один</w:t>
            </w:r>
            <w:r w:rsidR="00FC315E">
              <w:rPr>
                <w:rFonts w:ascii="Times New Roman" w:hAnsi="Times New Roman"/>
                <w:sz w:val="24"/>
                <w:szCs w:val="24"/>
              </w:rPr>
              <w:t>)</w:t>
            </w:r>
            <w:r w:rsidRPr="004259BC">
              <w:rPr>
                <w:rFonts w:ascii="Times New Roman" w:hAnsi="Times New Roman"/>
                <w:sz w:val="24"/>
                <w:szCs w:val="24"/>
              </w:rPr>
              <w:t xml:space="preserve"> рубль </w:t>
            </w:r>
            <w:r w:rsidR="00FC315E">
              <w:rPr>
                <w:rFonts w:ascii="Times New Roman" w:hAnsi="Times New Roman"/>
                <w:sz w:val="24"/>
                <w:szCs w:val="24"/>
              </w:rPr>
              <w:t>70</w:t>
            </w:r>
            <w:r w:rsidRPr="004259BC">
              <w:rPr>
                <w:rFonts w:ascii="Times New Roman" w:hAnsi="Times New Roman"/>
                <w:sz w:val="24"/>
                <w:szCs w:val="24"/>
              </w:rPr>
              <w:t xml:space="preserve"> копеек</w:t>
            </w:r>
            <w:r w:rsidR="00FC315E">
              <w:rPr>
                <w:rFonts w:ascii="Times New Roman" w:hAnsi="Times New Roman"/>
                <w:sz w:val="24"/>
                <w:szCs w:val="24"/>
              </w:rPr>
              <w:t>;</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6C09CB" w:rsidRPr="006C09CB">
              <w:rPr>
                <w:rFonts w:ascii="Times New Roman" w:hAnsi="Times New Roman"/>
                <w:b/>
                <w:sz w:val="24"/>
                <w:szCs w:val="24"/>
              </w:rPr>
              <w:t>3 630 508,48</w:t>
            </w:r>
            <w:r w:rsidR="006C09CB">
              <w:rPr>
                <w:rFonts w:ascii="Times New Roman" w:hAnsi="Times New Roman"/>
                <w:b/>
                <w:sz w:val="24"/>
                <w:szCs w:val="24"/>
              </w:rPr>
              <w:t xml:space="preserve"> руб.</w:t>
            </w:r>
            <w:r w:rsidRPr="0090094F">
              <w:rPr>
                <w:rFonts w:ascii="Times New Roman" w:hAnsi="Times New Roman"/>
                <w:b/>
                <w:sz w:val="24"/>
                <w:szCs w:val="24"/>
              </w:rPr>
              <w:t xml:space="preserve"> </w:t>
            </w:r>
            <w:r w:rsidRPr="0090094F">
              <w:rPr>
                <w:rFonts w:ascii="Times New Roman" w:hAnsi="Times New Roman"/>
                <w:sz w:val="24"/>
                <w:szCs w:val="24"/>
              </w:rPr>
              <w:t>(</w:t>
            </w:r>
            <w:r w:rsidR="00110208">
              <w:rPr>
                <w:rFonts w:ascii="Times New Roman" w:hAnsi="Times New Roman"/>
                <w:sz w:val="24"/>
                <w:szCs w:val="24"/>
              </w:rPr>
              <w:t>т</w:t>
            </w:r>
            <w:r w:rsidR="00110208" w:rsidRPr="00110208">
              <w:rPr>
                <w:rFonts w:ascii="Times New Roman" w:hAnsi="Times New Roman"/>
                <w:sz w:val="24"/>
                <w:szCs w:val="24"/>
              </w:rPr>
              <w:t>ри миллиона шестьсот тридцать тысяч пятьсот восемь</w:t>
            </w:r>
            <w:r w:rsidR="00110208">
              <w:rPr>
                <w:rFonts w:ascii="Times New Roman" w:hAnsi="Times New Roman"/>
                <w:sz w:val="24"/>
                <w:szCs w:val="24"/>
              </w:rPr>
              <w:t>)</w:t>
            </w:r>
            <w:r w:rsidR="00110208" w:rsidRPr="00110208">
              <w:rPr>
                <w:rFonts w:ascii="Times New Roman" w:hAnsi="Times New Roman"/>
                <w:sz w:val="24"/>
                <w:szCs w:val="24"/>
              </w:rPr>
              <w:t xml:space="preserve"> рублей </w:t>
            </w:r>
            <w:r w:rsidR="00110208">
              <w:rPr>
                <w:rFonts w:ascii="Times New Roman" w:hAnsi="Times New Roman"/>
                <w:sz w:val="24"/>
                <w:szCs w:val="24"/>
              </w:rPr>
              <w:t>48</w:t>
            </w:r>
            <w:r w:rsidR="00110208" w:rsidRPr="00110208">
              <w:rPr>
                <w:rFonts w:ascii="Times New Roman" w:hAnsi="Times New Roman"/>
                <w:sz w:val="24"/>
                <w:szCs w:val="24"/>
              </w:rPr>
              <w:t xml:space="preserve">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1F027F"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w:t>
            </w:r>
            <w:r w:rsidR="001F027F" w:rsidRPr="001F027F">
              <w:rPr>
                <w:rFonts w:ascii="Times New Roman" w:hAnsi="Times New Roman"/>
                <w:sz w:val="24"/>
                <w:szCs w:val="24"/>
              </w:rPr>
              <w:t>следующие начальные (максимальные) цены за единицу техники</w:t>
            </w:r>
            <w:r w:rsidR="00761DEF">
              <w:t xml:space="preserve"> </w:t>
            </w:r>
            <w:r w:rsidR="00761DEF" w:rsidRPr="00761DEF">
              <w:rPr>
                <w:rFonts w:ascii="Times New Roman" w:hAnsi="Times New Roman"/>
                <w:sz w:val="24"/>
                <w:szCs w:val="24"/>
              </w:rPr>
              <w:t>с экипажем</w:t>
            </w:r>
            <w:r w:rsidR="001F027F" w:rsidRPr="001F027F">
              <w:rPr>
                <w:rFonts w:ascii="Times New Roman" w:hAnsi="Times New Roman"/>
                <w:sz w:val="24"/>
                <w:szCs w:val="24"/>
              </w:rPr>
              <w:t xml:space="preserve"> (при единице измерения руб/моточас ):</w:t>
            </w:r>
          </w:p>
          <w:p w:rsidR="001F027F" w:rsidRDefault="001F027F" w:rsidP="003B7EA4">
            <w:pPr>
              <w:spacing w:after="0" w:line="240" w:lineRule="auto"/>
              <w:jc w:val="both"/>
              <w:rPr>
                <w:rFonts w:ascii="Times New Roman" w:hAnsi="Times New Roman"/>
                <w:sz w:val="24"/>
                <w:szCs w:val="24"/>
              </w:rPr>
            </w:pPr>
          </w:p>
          <w:tbl>
            <w:tblPr>
              <w:tblStyle w:val="aa"/>
              <w:tblpPr w:leftFromText="180" w:rightFromText="180" w:vertAnchor="text" w:horzAnchor="margin" w:tblpY="-246"/>
              <w:tblOverlap w:val="never"/>
              <w:tblW w:w="11194" w:type="dxa"/>
              <w:tblLayout w:type="fixed"/>
              <w:tblLook w:val="04A0" w:firstRow="1" w:lastRow="0" w:firstColumn="1" w:lastColumn="0" w:noHBand="0" w:noVBand="1"/>
            </w:tblPr>
            <w:tblGrid>
              <w:gridCol w:w="562"/>
              <w:gridCol w:w="4820"/>
              <w:gridCol w:w="1276"/>
              <w:gridCol w:w="2268"/>
              <w:gridCol w:w="2268"/>
            </w:tblGrid>
            <w:tr w:rsidR="008F1B85" w:rsidRPr="008F1B85" w:rsidTr="001E772B">
              <w:trPr>
                <w:trHeight w:val="985"/>
              </w:trPr>
              <w:tc>
                <w:tcPr>
                  <w:tcW w:w="562" w:type="dxa"/>
                </w:tcPr>
                <w:p w:rsidR="008F1B85" w:rsidRPr="008F1B85" w:rsidRDefault="008F1B85" w:rsidP="008F1B85">
                  <w:pPr>
                    <w:jc w:val="center"/>
                    <w:rPr>
                      <w:rFonts w:ascii="Times New Roman" w:hAnsi="Times New Roman"/>
                      <w:b/>
                      <w:sz w:val="20"/>
                      <w:szCs w:val="20"/>
                    </w:rPr>
                  </w:pPr>
                  <w:r w:rsidRPr="008F1B85">
                    <w:rPr>
                      <w:rFonts w:ascii="Times New Roman" w:hAnsi="Times New Roman"/>
                      <w:b/>
                      <w:sz w:val="20"/>
                      <w:szCs w:val="20"/>
                    </w:rPr>
                    <w:lastRenderedPageBreak/>
                    <w:t>№ п/п</w:t>
                  </w:r>
                </w:p>
              </w:tc>
              <w:tc>
                <w:tcPr>
                  <w:tcW w:w="4820" w:type="dxa"/>
                  <w:vAlign w:val="center"/>
                </w:tcPr>
                <w:p w:rsidR="008F1B85" w:rsidRPr="008F1B85" w:rsidRDefault="008F1B85" w:rsidP="008F1B85">
                  <w:pPr>
                    <w:jc w:val="center"/>
                    <w:rPr>
                      <w:rFonts w:ascii="Times New Roman" w:hAnsi="Times New Roman"/>
                      <w:b/>
                      <w:sz w:val="20"/>
                      <w:szCs w:val="20"/>
                    </w:rPr>
                  </w:pPr>
                  <w:r w:rsidRPr="008F1B85">
                    <w:rPr>
                      <w:rFonts w:ascii="Times New Roman" w:hAnsi="Times New Roman"/>
                      <w:b/>
                      <w:sz w:val="20"/>
                      <w:szCs w:val="20"/>
                    </w:rPr>
                    <w:t>Наименование услуги</w:t>
                  </w:r>
                </w:p>
              </w:tc>
              <w:tc>
                <w:tcPr>
                  <w:tcW w:w="1276" w:type="dxa"/>
                  <w:vAlign w:val="center"/>
                </w:tcPr>
                <w:p w:rsidR="008F1B85" w:rsidRPr="008F1B85" w:rsidRDefault="008F1B85" w:rsidP="008F1B85">
                  <w:pPr>
                    <w:jc w:val="center"/>
                    <w:rPr>
                      <w:rFonts w:ascii="Times New Roman" w:hAnsi="Times New Roman"/>
                      <w:b/>
                      <w:sz w:val="20"/>
                      <w:szCs w:val="20"/>
                    </w:rPr>
                  </w:pPr>
                  <w:r w:rsidRPr="008F1B85">
                    <w:rPr>
                      <w:rFonts w:ascii="Times New Roman" w:hAnsi="Times New Roman"/>
                      <w:b/>
                      <w:sz w:val="20"/>
                      <w:szCs w:val="20"/>
                    </w:rPr>
                    <w:t>Единица измерения, мото/час</w:t>
                  </w:r>
                </w:p>
              </w:tc>
              <w:tc>
                <w:tcPr>
                  <w:tcW w:w="2268" w:type="dxa"/>
                </w:tcPr>
                <w:p w:rsidR="008F1B85" w:rsidRPr="008F1B85" w:rsidRDefault="008F1B85" w:rsidP="004855FA">
                  <w:pPr>
                    <w:jc w:val="center"/>
                    <w:rPr>
                      <w:rFonts w:ascii="Times New Roman" w:hAnsi="Times New Roman"/>
                      <w:b/>
                      <w:sz w:val="20"/>
                      <w:szCs w:val="20"/>
                    </w:rPr>
                  </w:pPr>
                  <w:r w:rsidRPr="008F1B85">
                    <w:rPr>
                      <w:rFonts w:ascii="Times New Roman" w:hAnsi="Times New Roman"/>
                      <w:b/>
                      <w:sz w:val="20"/>
                      <w:szCs w:val="20"/>
                    </w:rPr>
                    <w:t xml:space="preserve">Начальная максимальная цена в т.ч. НДС </w:t>
                  </w:r>
                  <w:r w:rsidR="004855FA">
                    <w:rPr>
                      <w:rFonts w:ascii="Times New Roman" w:hAnsi="Times New Roman"/>
                      <w:b/>
                      <w:sz w:val="20"/>
                      <w:szCs w:val="20"/>
                    </w:rPr>
                    <w:t>(2</w:t>
                  </w:r>
                  <w:r w:rsidRPr="008F1B85">
                    <w:rPr>
                      <w:rFonts w:ascii="Times New Roman" w:hAnsi="Times New Roman"/>
                      <w:b/>
                      <w:sz w:val="20"/>
                      <w:szCs w:val="20"/>
                    </w:rPr>
                    <w:t>0%</w:t>
                  </w:r>
                  <w:r w:rsidR="004855FA">
                    <w:rPr>
                      <w:rFonts w:ascii="Times New Roman" w:hAnsi="Times New Roman"/>
                      <w:b/>
                      <w:sz w:val="20"/>
                      <w:szCs w:val="20"/>
                    </w:rPr>
                    <w:t>)</w:t>
                  </w:r>
                  <w:r w:rsidRPr="008F1B85">
                    <w:rPr>
                      <w:rFonts w:ascii="Times New Roman" w:hAnsi="Times New Roman"/>
                      <w:b/>
                      <w:sz w:val="20"/>
                      <w:szCs w:val="20"/>
                    </w:rPr>
                    <w:t>, руб</w:t>
                  </w:r>
                  <w:r w:rsidR="004855FA">
                    <w:rPr>
                      <w:rFonts w:ascii="Times New Roman" w:hAnsi="Times New Roman"/>
                      <w:b/>
                      <w:sz w:val="20"/>
                      <w:szCs w:val="20"/>
                    </w:rPr>
                    <w:t>.</w:t>
                  </w:r>
                </w:p>
              </w:tc>
              <w:tc>
                <w:tcPr>
                  <w:tcW w:w="2268" w:type="dxa"/>
                </w:tcPr>
                <w:p w:rsidR="008F1B85" w:rsidRPr="008F1B85" w:rsidRDefault="008F1B85" w:rsidP="008F1B85">
                  <w:pPr>
                    <w:jc w:val="center"/>
                    <w:rPr>
                      <w:rFonts w:ascii="Times New Roman" w:hAnsi="Times New Roman"/>
                      <w:b/>
                      <w:sz w:val="20"/>
                      <w:szCs w:val="20"/>
                    </w:rPr>
                  </w:pPr>
                  <w:r w:rsidRPr="008F1B85">
                    <w:rPr>
                      <w:rFonts w:ascii="Times New Roman" w:hAnsi="Times New Roman"/>
                      <w:b/>
                      <w:sz w:val="20"/>
                      <w:szCs w:val="20"/>
                    </w:rPr>
                    <w:t>Начальная максимальная цена, без учета НДС</w:t>
                  </w:r>
                  <w:r w:rsidR="004855FA">
                    <w:rPr>
                      <w:rFonts w:ascii="Times New Roman" w:hAnsi="Times New Roman"/>
                      <w:b/>
                      <w:sz w:val="20"/>
                      <w:szCs w:val="20"/>
                    </w:rPr>
                    <w:t xml:space="preserve"> (20%)</w:t>
                  </w:r>
                  <w:r w:rsidRPr="008F1B85">
                    <w:rPr>
                      <w:rFonts w:ascii="Times New Roman" w:hAnsi="Times New Roman"/>
                      <w:b/>
                      <w:sz w:val="20"/>
                      <w:szCs w:val="20"/>
                    </w:rPr>
                    <w:t>, руб</w:t>
                  </w:r>
                  <w:r w:rsidR="004855FA">
                    <w:rPr>
                      <w:rFonts w:ascii="Times New Roman" w:hAnsi="Times New Roman"/>
                      <w:b/>
                      <w:sz w:val="20"/>
                      <w:szCs w:val="20"/>
                    </w:rPr>
                    <w:t>.</w:t>
                  </w:r>
                </w:p>
              </w:tc>
            </w:tr>
            <w:tr w:rsidR="00FE5ED6" w:rsidRPr="008F1B85" w:rsidTr="004855FA">
              <w:trPr>
                <w:trHeight w:val="261"/>
              </w:trPr>
              <w:tc>
                <w:tcPr>
                  <w:tcW w:w="11194" w:type="dxa"/>
                  <w:gridSpan w:val="5"/>
                </w:tcPr>
                <w:p w:rsidR="00FE5ED6" w:rsidRPr="008F1B85" w:rsidRDefault="00FE5ED6" w:rsidP="00FE5ED6">
                  <w:pPr>
                    <w:rPr>
                      <w:rFonts w:ascii="Times New Roman" w:hAnsi="Times New Roman"/>
                      <w:sz w:val="20"/>
                      <w:szCs w:val="20"/>
                    </w:rPr>
                  </w:pPr>
                  <w:r w:rsidRPr="00FE5ED6">
                    <w:rPr>
                      <w:rFonts w:ascii="Times New Roman" w:hAnsi="Times New Roman"/>
                      <w:sz w:val="20"/>
                      <w:szCs w:val="20"/>
                    </w:rPr>
                    <w:t>гусеничная спецтехника:</w:t>
                  </w:r>
                </w:p>
              </w:tc>
            </w:tr>
            <w:tr w:rsidR="008F1B85" w:rsidRPr="008F1B85" w:rsidTr="0086121F">
              <w:trPr>
                <w:trHeight w:val="294"/>
              </w:trPr>
              <w:tc>
                <w:tcPr>
                  <w:tcW w:w="562" w:type="dxa"/>
                </w:tcPr>
                <w:p w:rsidR="008F1B85" w:rsidRPr="008F1B85" w:rsidRDefault="008F1B85" w:rsidP="008F1B85">
                  <w:pPr>
                    <w:jc w:val="both"/>
                    <w:rPr>
                      <w:rFonts w:ascii="Times New Roman" w:hAnsi="Times New Roman"/>
                      <w:sz w:val="20"/>
                      <w:szCs w:val="20"/>
                    </w:rPr>
                  </w:pPr>
                  <w:r w:rsidRPr="008F1B85">
                    <w:rPr>
                      <w:rFonts w:ascii="Times New Roman" w:hAnsi="Times New Roman"/>
                      <w:sz w:val="20"/>
                      <w:szCs w:val="20"/>
                    </w:rPr>
                    <w:t>1</w:t>
                  </w:r>
                </w:p>
              </w:tc>
              <w:tc>
                <w:tcPr>
                  <w:tcW w:w="4820" w:type="dxa"/>
                  <w:vAlign w:val="center"/>
                </w:tcPr>
                <w:p w:rsidR="008F1B85" w:rsidRPr="00FE5ED6" w:rsidRDefault="008F1B85" w:rsidP="008F1B85">
                  <w:pPr>
                    <w:rPr>
                      <w:rFonts w:ascii="Times New Roman" w:hAnsi="Times New Roman"/>
                      <w:sz w:val="20"/>
                      <w:szCs w:val="20"/>
                    </w:rPr>
                  </w:pPr>
                  <w:r w:rsidRPr="00FE5ED6">
                    <w:rPr>
                      <w:rFonts w:ascii="Times New Roman" w:hAnsi="Times New Roman"/>
                      <w:sz w:val="20"/>
                      <w:szCs w:val="20"/>
                    </w:rPr>
                    <w:t>Гусеничный экскаватор 25т с объемом ковша 1,1 м3</w:t>
                  </w:r>
                </w:p>
              </w:tc>
              <w:tc>
                <w:tcPr>
                  <w:tcW w:w="1276" w:type="dxa"/>
                  <w:vAlign w:val="center"/>
                </w:tcPr>
                <w:p w:rsidR="008F1B85" w:rsidRPr="008F1B85" w:rsidRDefault="008F1B85" w:rsidP="008F1B85">
                  <w:pPr>
                    <w:jc w:val="center"/>
                    <w:rPr>
                      <w:rFonts w:ascii="Times New Roman" w:hAnsi="Times New Roman"/>
                      <w:sz w:val="20"/>
                      <w:szCs w:val="20"/>
                    </w:rPr>
                  </w:pPr>
                  <w:r w:rsidRPr="008F1B85">
                    <w:rPr>
                      <w:rFonts w:ascii="Times New Roman" w:hAnsi="Times New Roman"/>
                      <w:sz w:val="20"/>
                      <w:szCs w:val="20"/>
                    </w:rPr>
                    <w:t>1</w:t>
                  </w:r>
                </w:p>
              </w:tc>
              <w:tc>
                <w:tcPr>
                  <w:tcW w:w="2268" w:type="dxa"/>
                  <w:vAlign w:val="center"/>
                </w:tcPr>
                <w:p w:rsidR="008F1B85" w:rsidRPr="008F1B85" w:rsidRDefault="008F1B85" w:rsidP="008F1B85">
                  <w:pPr>
                    <w:jc w:val="center"/>
                    <w:rPr>
                      <w:rFonts w:ascii="Times New Roman" w:hAnsi="Times New Roman"/>
                      <w:sz w:val="20"/>
                      <w:szCs w:val="20"/>
                    </w:rPr>
                  </w:pPr>
                  <w:r w:rsidRPr="008F1B85">
                    <w:rPr>
                      <w:rFonts w:ascii="Times New Roman" w:hAnsi="Times New Roman"/>
                      <w:sz w:val="20"/>
                      <w:szCs w:val="20"/>
                    </w:rPr>
                    <w:t>2350,00</w:t>
                  </w:r>
                </w:p>
              </w:tc>
              <w:tc>
                <w:tcPr>
                  <w:tcW w:w="2268" w:type="dxa"/>
                  <w:vAlign w:val="center"/>
                </w:tcPr>
                <w:p w:rsidR="008F1B85" w:rsidRPr="008F1B85" w:rsidRDefault="008F1B85" w:rsidP="008F1B85">
                  <w:pPr>
                    <w:jc w:val="center"/>
                    <w:rPr>
                      <w:rFonts w:ascii="Times New Roman" w:hAnsi="Times New Roman"/>
                      <w:sz w:val="20"/>
                      <w:szCs w:val="20"/>
                    </w:rPr>
                  </w:pPr>
                  <w:r w:rsidRPr="008F1B85">
                    <w:rPr>
                      <w:rFonts w:ascii="Times New Roman" w:hAnsi="Times New Roman"/>
                      <w:sz w:val="20"/>
                      <w:szCs w:val="20"/>
                    </w:rPr>
                    <w:t>1 958,33</w:t>
                  </w:r>
                </w:p>
              </w:tc>
            </w:tr>
            <w:tr w:rsidR="008F1B85" w:rsidRPr="008F1B85" w:rsidTr="0086121F">
              <w:trPr>
                <w:trHeight w:val="280"/>
              </w:trPr>
              <w:tc>
                <w:tcPr>
                  <w:tcW w:w="562" w:type="dxa"/>
                </w:tcPr>
                <w:p w:rsidR="008F1B85" w:rsidRPr="008F1B85" w:rsidRDefault="008F1B85" w:rsidP="008F1B85">
                  <w:pPr>
                    <w:jc w:val="both"/>
                    <w:rPr>
                      <w:rFonts w:ascii="Times New Roman" w:hAnsi="Times New Roman"/>
                      <w:sz w:val="20"/>
                      <w:szCs w:val="20"/>
                    </w:rPr>
                  </w:pPr>
                  <w:r w:rsidRPr="008F1B85">
                    <w:rPr>
                      <w:rFonts w:ascii="Times New Roman" w:hAnsi="Times New Roman"/>
                      <w:sz w:val="20"/>
                      <w:szCs w:val="20"/>
                    </w:rPr>
                    <w:t>2</w:t>
                  </w:r>
                </w:p>
              </w:tc>
              <w:tc>
                <w:tcPr>
                  <w:tcW w:w="4820" w:type="dxa"/>
                </w:tcPr>
                <w:p w:rsidR="008F1B85" w:rsidRPr="00FE5ED6" w:rsidRDefault="008F1B85" w:rsidP="008F1B85">
                  <w:pPr>
                    <w:rPr>
                      <w:rFonts w:ascii="Times New Roman" w:hAnsi="Times New Roman"/>
                      <w:sz w:val="20"/>
                      <w:szCs w:val="20"/>
                    </w:rPr>
                  </w:pPr>
                  <w:r w:rsidRPr="00FE5ED6">
                    <w:rPr>
                      <w:rFonts w:ascii="Times New Roman" w:hAnsi="Times New Roman"/>
                      <w:sz w:val="20"/>
                      <w:szCs w:val="20"/>
                    </w:rPr>
                    <w:t>Бульдозер Cat 9</w:t>
                  </w:r>
                </w:p>
              </w:tc>
              <w:tc>
                <w:tcPr>
                  <w:tcW w:w="1276" w:type="dxa"/>
                  <w:vAlign w:val="center"/>
                </w:tcPr>
                <w:p w:rsidR="008F1B85" w:rsidRPr="008F1B85" w:rsidRDefault="008F1B85" w:rsidP="008F1B85">
                  <w:pPr>
                    <w:jc w:val="center"/>
                    <w:rPr>
                      <w:rFonts w:ascii="Times New Roman" w:hAnsi="Times New Roman"/>
                      <w:sz w:val="20"/>
                      <w:szCs w:val="20"/>
                    </w:rPr>
                  </w:pPr>
                  <w:r w:rsidRPr="008F1B85">
                    <w:rPr>
                      <w:rFonts w:ascii="Times New Roman" w:hAnsi="Times New Roman"/>
                      <w:sz w:val="20"/>
                      <w:szCs w:val="20"/>
                    </w:rPr>
                    <w:t>1</w:t>
                  </w:r>
                </w:p>
              </w:tc>
              <w:tc>
                <w:tcPr>
                  <w:tcW w:w="2268" w:type="dxa"/>
                </w:tcPr>
                <w:p w:rsidR="008F1B85" w:rsidRPr="008F1B85" w:rsidRDefault="008F1B85" w:rsidP="008F1B85">
                  <w:pPr>
                    <w:tabs>
                      <w:tab w:val="left" w:pos="4605"/>
                      <w:tab w:val="left" w:pos="12825"/>
                    </w:tabs>
                    <w:jc w:val="center"/>
                    <w:rPr>
                      <w:rFonts w:ascii="Times New Roman" w:hAnsi="Times New Roman"/>
                      <w:sz w:val="20"/>
                      <w:szCs w:val="20"/>
                    </w:rPr>
                  </w:pPr>
                  <w:r w:rsidRPr="008F1B85">
                    <w:rPr>
                      <w:rFonts w:ascii="Times New Roman" w:hAnsi="Times New Roman"/>
                      <w:sz w:val="20"/>
                      <w:szCs w:val="20"/>
                    </w:rPr>
                    <w:t>3600,00</w:t>
                  </w:r>
                </w:p>
              </w:tc>
              <w:tc>
                <w:tcPr>
                  <w:tcW w:w="2268" w:type="dxa"/>
                  <w:vAlign w:val="center"/>
                </w:tcPr>
                <w:p w:rsidR="008F1B85" w:rsidRPr="008F1B85" w:rsidRDefault="008F1B85" w:rsidP="008F1B85">
                  <w:pPr>
                    <w:jc w:val="center"/>
                    <w:rPr>
                      <w:rFonts w:ascii="Times New Roman" w:hAnsi="Times New Roman"/>
                      <w:sz w:val="20"/>
                      <w:szCs w:val="20"/>
                    </w:rPr>
                  </w:pPr>
                  <w:r w:rsidRPr="008F1B85">
                    <w:rPr>
                      <w:rFonts w:ascii="Times New Roman" w:hAnsi="Times New Roman"/>
                      <w:sz w:val="20"/>
                      <w:szCs w:val="20"/>
                    </w:rPr>
                    <w:t>3 000,00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за </w:t>
            </w:r>
            <w:r w:rsidRPr="00990071">
              <w:t xml:space="preserve">единицу </w:t>
            </w:r>
            <w:r w:rsidR="007A30F1">
              <w:t>услуги</w:t>
            </w:r>
            <w:r>
              <w:t xml:space="preserve"> будут установлены</w:t>
            </w:r>
            <w:r w:rsidRPr="00B07BC3">
              <w:t xml:space="preserve"> по результатам закупки.</w:t>
            </w:r>
          </w:p>
          <w:p w:rsidR="00C801A0" w:rsidRPr="00D11018" w:rsidRDefault="00F46819" w:rsidP="00D11018">
            <w:pPr>
              <w:pStyle w:val="a9"/>
              <w:shd w:val="clear" w:color="auto" w:fill="FFFFFF" w:themeFill="background1"/>
              <w:spacing w:before="0" w:beforeAutospacing="0" w:after="0" w:afterAutospacing="0"/>
              <w:jc w:val="both"/>
              <w:rPr>
                <w:rFonts w:eastAsiaTheme="minorEastAsia"/>
                <w:sz w:val="22"/>
                <w:szCs w:val="22"/>
              </w:rPr>
            </w:pPr>
            <w:r w:rsidRPr="00F46819">
              <w:rPr>
                <w:rFonts w:eastAsia="Calibri"/>
              </w:rPr>
              <w:t>Цена договора сформирована с учетом всех обязательных платежей, связанных с выполнением договора, по управлению спецтехникой, ее технической эксплуатации и обслуживанию, обеспечению спецтехники  горюче-смазочными материалами, запасными частями, топливом и необходимым оборудованием.</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104B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7B79DD" w:rsidRDefault="00F46819" w:rsidP="008D20F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lastRenderedPageBreak/>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окончания предоставления </w:t>
            </w:r>
            <w:r w:rsidRPr="00104B39">
              <w:rPr>
                <w:rFonts w:ascii="Times New Roman" w:hAnsi="Times New Roman" w:cs="Times New Roman"/>
                <w:sz w:val="24"/>
                <w:szCs w:val="24"/>
              </w:rPr>
              <w:lastRenderedPageBreak/>
              <w:t>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w:t>
            </w:r>
            <w:r w:rsidRPr="00104B39">
              <w:rPr>
                <w:rFonts w:ascii="Times New Roman" w:eastAsia="Times New Roman" w:hAnsi="Times New Roman" w:cs="Times New Roman"/>
                <w:sz w:val="24"/>
                <w:szCs w:val="24"/>
                <w:lang w:eastAsia="en-US"/>
              </w:rPr>
              <w:lastRenderedPageBreak/>
              <w:t>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FD061B">
              <w:rPr>
                <w:rFonts w:ascii="Times New Roman" w:hAnsi="Times New Roman" w:cs="Times New Roman"/>
                <w:b/>
                <w:sz w:val="24"/>
                <w:szCs w:val="24"/>
              </w:rPr>
              <w:t>17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FD061B">
              <w:rPr>
                <w:rFonts w:ascii="Times New Roman" w:hAnsi="Times New Roman" w:cs="Times New Roman"/>
                <w:b/>
                <w:sz w:val="24"/>
                <w:szCs w:val="24"/>
              </w:rPr>
              <w:t>апреля</w:t>
            </w:r>
            <w:r w:rsidRPr="00104B39">
              <w:rPr>
                <w:rFonts w:ascii="Times New Roman" w:hAnsi="Times New Roman" w:cs="Times New Roman"/>
                <w:b/>
                <w:sz w:val="24"/>
                <w:szCs w:val="24"/>
              </w:rPr>
              <w:t xml:space="preserve"> 201</w:t>
            </w:r>
            <w:r w:rsidR="00FD061B">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4A06D4">
              <w:rPr>
                <w:rFonts w:ascii="Times New Roman" w:hAnsi="Times New Roman" w:cs="Times New Roman"/>
                <w:b/>
                <w:sz w:val="24"/>
                <w:szCs w:val="24"/>
              </w:rPr>
              <w:t>6</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FD061B" w:rsidRPr="00FD061B">
              <w:rPr>
                <w:rFonts w:ascii="Times New Roman" w:hAnsi="Times New Roman" w:cs="Times New Roman"/>
                <w:b/>
                <w:sz w:val="24"/>
                <w:szCs w:val="24"/>
              </w:rPr>
              <w:t xml:space="preserve">апреля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4A06D4">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4A06D4">
              <w:rPr>
                <w:rFonts w:ascii="Times New Roman" w:hAnsi="Times New Roman" w:cs="Times New Roman"/>
                <w:b/>
                <w:sz w:val="24"/>
                <w:szCs w:val="24"/>
              </w:rPr>
              <w:t>6</w:t>
            </w:r>
            <w:r w:rsidRPr="00104B39">
              <w:rPr>
                <w:rFonts w:ascii="Times New Roman" w:hAnsi="Times New Roman" w:cs="Times New Roman"/>
                <w:b/>
                <w:sz w:val="24"/>
                <w:szCs w:val="24"/>
              </w:rPr>
              <w:t xml:space="preserve">» </w:t>
            </w:r>
            <w:r w:rsidR="008625E5" w:rsidRPr="008625E5">
              <w:rPr>
                <w:rFonts w:ascii="Times New Roman" w:hAnsi="Times New Roman" w:cs="Times New Roman"/>
                <w:b/>
                <w:sz w:val="24"/>
                <w:szCs w:val="24"/>
              </w:rPr>
              <w:t xml:space="preserve">апреля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Pr="006A4259" w:rsidRDefault="000017E2" w:rsidP="006A4259">
            <w:pPr>
              <w:pStyle w:val="a5"/>
              <w:widowControl w:val="0"/>
              <w:numPr>
                <w:ilvl w:val="0"/>
                <w:numId w:val="9"/>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6A4259">
              <w:rPr>
                <w:rFonts w:ascii="Times New Roman" w:eastAsia="Times New Roman" w:hAnsi="Times New Roman"/>
                <w:sz w:val="24"/>
                <w:szCs w:val="24"/>
              </w:rPr>
              <w:t xml:space="preserve">Цена </w:t>
            </w:r>
            <w:r w:rsidR="004A06D4" w:rsidRPr="006A4259">
              <w:rPr>
                <w:rFonts w:ascii="Times New Roman" w:eastAsia="Times New Roman" w:hAnsi="Times New Roman"/>
                <w:sz w:val="24"/>
                <w:szCs w:val="24"/>
              </w:rPr>
              <w:t>за единицу услуги</w:t>
            </w:r>
            <w:r w:rsidRPr="006A4259">
              <w:rPr>
                <w:rFonts w:ascii="Times New Roman" w:eastAsia="Times New Roman" w:hAnsi="Times New Roman"/>
                <w:sz w:val="24"/>
                <w:szCs w:val="24"/>
              </w:rPr>
              <w:t xml:space="preserve"> – </w:t>
            </w:r>
            <w:r w:rsidR="006A4259" w:rsidRPr="006A4259">
              <w:rPr>
                <w:rFonts w:ascii="Times New Roman" w:eastAsia="Times New Roman" w:hAnsi="Times New Roman"/>
                <w:sz w:val="24"/>
                <w:szCs w:val="24"/>
              </w:rPr>
              <w:t>10</w:t>
            </w:r>
            <w:r w:rsidRPr="006A4259">
              <w:rPr>
                <w:rFonts w:ascii="Times New Roman" w:eastAsia="Times New Roman" w:hAnsi="Times New Roman"/>
                <w:sz w:val="24"/>
                <w:szCs w:val="24"/>
              </w:rPr>
              <w:t>0 % (100 баллов), в том числе:</w:t>
            </w:r>
          </w:p>
          <w:tbl>
            <w:tblPr>
              <w:tblStyle w:val="aa"/>
              <w:tblpPr w:leftFromText="180" w:rightFromText="180" w:vertAnchor="text" w:horzAnchor="margin" w:tblpY="-246"/>
              <w:tblOverlap w:val="never"/>
              <w:tblW w:w="0" w:type="auto"/>
              <w:tblLayout w:type="fixed"/>
              <w:tblLook w:val="04A0" w:firstRow="1" w:lastRow="0" w:firstColumn="1" w:lastColumn="0" w:noHBand="0" w:noVBand="1"/>
            </w:tblPr>
            <w:tblGrid>
              <w:gridCol w:w="562"/>
              <w:gridCol w:w="3119"/>
              <w:gridCol w:w="1559"/>
              <w:gridCol w:w="1985"/>
              <w:gridCol w:w="1984"/>
              <w:gridCol w:w="1701"/>
            </w:tblGrid>
            <w:tr w:rsidR="006C3EE5" w:rsidRPr="006A4259" w:rsidTr="00A6172C">
              <w:trPr>
                <w:trHeight w:val="985"/>
              </w:trPr>
              <w:tc>
                <w:tcPr>
                  <w:tcW w:w="562" w:type="dxa"/>
                </w:tcPr>
                <w:p w:rsidR="006C3EE5" w:rsidRPr="006A4259" w:rsidRDefault="006C3EE5" w:rsidP="006C3EE5">
                  <w:pPr>
                    <w:jc w:val="center"/>
                    <w:rPr>
                      <w:rFonts w:ascii="Times New Roman" w:hAnsi="Times New Roman"/>
                      <w:b/>
                      <w:sz w:val="20"/>
                      <w:szCs w:val="20"/>
                    </w:rPr>
                  </w:pPr>
                  <w:r w:rsidRPr="006A4259">
                    <w:rPr>
                      <w:rFonts w:ascii="Times New Roman" w:hAnsi="Times New Roman"/>
                      <w:b/>
                      <w:sz w:val="20"/>
                      <w:szCs w:val="20"/>
                    </w:rPr>
                    <w:lastRenderedPageBreak/>
                    <w:t>№ п/п</w:t>
                  </w:r>
                </w:p>
              </w:tc>
              <w:tc>
                <w:tcPr>
                  <w:tcW w:w="3119" w:type="dxa"/>
                  <w:vAlign w:val="center"/>
                </w:tcPr>
                <w:p w:rsidR="006C3EE5" w:rsidRPr="006A4259" w:rsidRDefault="006C3EE5" w:rsidP="006C3EE5">
                  <w:pPr>
                    <w:jc w:val="center"/>
                    <w:rPr>
                      <w:rFonts w:ascii="Times New Roman" w:hAnsi="Times New Roman"/>
                      <w:b/>
                      <w:sz w:val="20"/>
                      <w:szCs w:val="20"/>
                    </w:rPr>
                  </w:pPr>
                  <w:r w:rsidRPr="006A4259">
                    <w:rPr>
                      <w:rFonts w:ascii="Times New Roman" w:hAnsi="Times New Roman"/>
                      <w:b/>
                      <w:sz w:val="20"/>
                      <w:szCs w:val="20"/>
                    </w:rPr>
                    <w:t>Наименование услуги</w:t>
                  </w:r>
                </w:p>
              </w:tc>
              <w:tc>
                <w:tcPr>
                  <w:tcW w:w="1559" w:type="dxa"/>
                  <w:vAlign w:val="center"/>
                </w:tcPr>
                <w:p w:rsidR="006C3EE5" w:rsidRPr="006A4259" w:rsidRDefault="006C3EE5" w:rsidP="006C3EE5">
                  <w:pPr>
                    <w:jc w:val="center"/>
                    <w:rPr>
                      <w:rFonts w:ascii="Times New Roman" w:hAnsi="Times New Roman"/>
                      <w:b/>
                      <w:sz w:val="20"/>
                      <w:szCs w:val="20"/>
                    </w:rPr>
                  </w:pPr>
                  <w:r w:rsidRPr="006A4259">
                    <w:rPr>
                      <w:rFonts w:ascii="Times New Roman" w:hAnsi="Times New Roman"/>
                      <w:b/>
                      <w:sz w:val="20"/>
                      <w:szCs w:val="20"/>
                    </w:rPr>
                    <w:t>Единица измерения,мото/час</w:t>
                  </w:r>
                </w:p>
              </w:tc>
              <w:tc>
                <w:tcPr>
                  <w:tcW w:w="1985" w:type="dxa"/>
                </w:tcPr>
                <w:p w:rsidR="006C3EE5" w:rsidRPr="008F1B85" w:rsidRDefault="006C3EE5" w:rsidP="006C3EE5">
                  <w:pPr>
                    <w:jc w:val="center"/>
                    <w:rPr>
                      <w:rFonts w:ascii="Times New Roman" w:hAnsi="Times New Roman"/>
                      <w:b/>
                      <w:sz w:val="20"/>
                      <w:szCs w:val="20"/>
                    </w:rPr>
                  </w:pPr>
                  <w:r w:rsidRPr="008F1B85">
                    <w:rPr>
                      <w:rFonts w:ascii="Times New Roman" w:hAnsi="Times New Roman"/>
                      <w:b/>
                      <w:sz w:val="20"/>
                      <w:szCs w:val="20"/>
                    </w:rPr>
                    <w:t xml:space="preserve">Начальная максимальная цена в т.ч. НДС </w:t>
                  </w:r>
                  <w:r>
                    <w:rPr>
                      <w:rFonts w:ascii="Times New Roman" w:hAnsi="Times New Roman"/>
                      <w:b/>
                      <w:sz w:val="20"/>
                      <w:szCs w:val="20"/>
                    </w:rPr>
                    <w:t>(2</w:t>
                  </w:r>
                  <w:r w:rsidRPr="008F1B85">
                    <w:rPr>
                      <w:rFonts w:ascii="Times New Roman" w:hAnsi="Times New Roman"/>
                      <w:b/>
                      <w:sz w:val="20"/>
                      <w:szCs w:val="20"/>
                    </w:rPr>
                    <w:t>0%</w:t>
                  </w:r>
                  <w:r>
                    <w:rPr>
                      <w:rFonts w:ascii="Times New Roman" w:hAnsi="Times New Roman"/>
                      <w:b/>
                      <w:sz w:val="20"/>
                      <w:szCs w:val="20"/>
                    </w:rPr>
                    <w:t>)</w:t>
                  </w:r>
                  <w:r w:rsidRPr="008F1B85">
                    <w:rPr>
                      <w:rFonts w:ascii="Times New Roman" w:hAnsi="Times New Roman"/>
                      <w:b/>
                      <w:sz w:val="20"/>
                      <w:szCs w:val="20"/>
                    </w:rPr>
                    <w:t>, руб</w:t>
                  </w:r>
                  <w:r>
                    <w:rPr>
                      <w:rFonts w:ascii="Times New Roman" w:hAnsi="Times New Roman"/>
                      <w:b/>
                      <w:sz w:val="20"/>
                      <w:szCs w:val="20"/>
                    </w:rPr>
                    <w:t>.</w:t>
                  </w:r>
                </w:p>
              </w:tc>
              <w:tc>
                <w:tcPr>
                  <w:tcW w:w="1984" w:type="dxa"/>
                </w:tcPr>
                <w:p w:rsidR="006C3EE5" w:rsidRPr="008F1B85" w:rsidRDefault="006C3EE5" w:rsidP="006C3EE5">
                  <w:pPr>
                    <w:jc w:val="center"/>
                    <w:rPr>
                      <w:rFonts w:ascii="Times New Roman" w:hAnsi="Times New Roman"/>
                      <w:b/>
                      <w:sz w:val="20"/>
                      <w:szCs w:val="20"/>
                    </w:rPr>
                  </w:pPr>
                  <w:r w:rsidRPr="008F1B85">
                    <w:rPr>
                      <w:rFonts w:ascii="Times New Roman" w:hAnsi="Times New Roman"/>
                      <w:b/>
                      <w:sz w:val="20"/>
                      <w:szCs w:val="20"/>
                    </w:rPr>
                    <w:t>Начальная максимальная цена, без учета НДС</w:t>
                  </w:r>
                  <w:r>
                    <w:rPr>
                      <w:rFonts w:ascii="Times New Roman" w:hAnsi="Times New Roman"/>
                      <w:b/>
                      <w:sz w:val="20"/>
                      <w:szCs w:val="20"/>
                    </w:rPr>
                    <w:t xml:space="preserve"> (20%)</w:t>
                  </w:r>
                  <w:r w:rsidRPr="008F1B85">
                    <w:rPr>
                      <w:rFonts w:ascii="Times New Roman" w:hAnsi="Times New Roman"/>
                      <w:b/>
                      <w:sz w:val="20"/>
                      <w:szCs w:val="20"/>
                    </w:rPr>
                    <w:t>, руб</w:t>
                  </w:r>
                  <w:r>
                    <w:rPr>
                      <w:rFonts w:ascii="Times New Roman" w:hAnsi="Times New Roman"/>
                      <w:b/>
                      <w:sz w:val="20"/>
                      <w:szCs w:val="20"/>
                    </w:rPr>
                    <w:t>.</w:t>
                  </w:r>
                </w:p>
              </w:tc>
              <w:tc>
                <w:tcPr>
                  <w:tcW w:w="1701" w:type="dxa"/>
                </w:tcPr>
                <w:p w:rsidR="006C3EE5" w:rsidRPr="006A4259" w:rsidRDefault="006C3EE5" w:rsidP="006C3EE5">
                  <w:pPr>
                    <w:jc w:val="center"/>
                    <w:rPr>
                      <w:rFonts w:ascii="Times New Roman" w:hAnsi="Times New Roman"/>
                      <w:b/>
                      <w:color w:val="FF0000"/>
                      <w:sz w:val="20"/>
                      <w:szCs w:val="20"/>
                    </w:rPr>
                  </w:pPr>
                  <w:r w:rsidRPr="006A4259">
                    <w:rPr>
                      <w:rFonts w:ascii="Times New Roman" w:hAnsi="Times New Roman"/>
                      <w:b/>
                      <w:sz w:val="20"/>
                      <w:szCs w:val="20"/>
                    </w:rPr>
                    <w:t>Максимальный балл по критерию (по позиции)</w:t>
                  </w:r>
                </w:p>
              </w:tc>
            </w:tr>
            <w:tr w:rsidR="00483D97" w:rsidRPr="006A4259" w:rsidTr="008E3418">
              <w:trPr>
                <w:trHeight w:val="321"/>
              </w:trPr>
              <w:tc>
                <w:tcPr>
                  <w:tcW w:w="10910" w:type="dxa"/>
                  <w:gridSpan w:val="6"/>
                </w:tcPr>
                <w:p w:rsidR="00483D97" w:rsidRPr="006A4259" w:rsidRDefault="00483D97" w:rsidP="00483D97">
                  <w:pPr>
                    <w:rPr>
                      <w:rFonts w:ascii="Times New Roman" w:hAnsi="Times New Roman"/>
                      <w:sz w:val="20"/>
                      <w:szCs w:val="20"/>
                    </w:rPr>
                  </w:pPr>
                  <w:r w:rsidRPr="00483D97">
                    <w:rPr>
                      <w:rFonts w:ascii="Times New Roman" w:hAnsi="Times New Roman"/>
                      <w:sz w:val="20"/>
                      <w:szCs w:val="20"/>
                    </w:rPr>
                    <w:t>Гусеничная  спецтехника:</w:t>
                  </w:r>
                </w:p>
              </w:tc>
            </w:tr>
            <w:tr w:rsidR="006A4259" w:rsidRPr="006A4259" w:rsidTr="006A4259">
              <w:trPr>
                <w:trHeight w:val="385"/>
              </w:trPr>
              <w:tc>
                <w:tcPr>
                  <w:tcW w:w="562" w:type="dxa"/>
                </w:tcPr>
                <w:p w:rsidR="006A4259" w:rsidRPr="006A4259" w:rsidRDefault="006A4259" w:rsidP="006A4259">
                  <w:pPr>
                    <w:jc w:val="both"/>
                    <w:rPr>
                      <w:rFonts w:ascii="Times New Roman" w:hAnsi="Times New Roman"/>
                      <w:sz w:val="20"/>
                      <w:szCs w:val="20"/>
                    </w:rPr>
                  </w:pPr>
                  <w:r w:rsidRPr="006A4259">
                    <w:rPr>
                      <w:rFonts w:ascii="Times New Roman" w:hAnsi="Times New Roman"/>
                      <w:sz w:val="20"/>
                      <w:szCs w:val="20"/>
                    </w:rPr>
                    <w:t>1</w:t>
                  </w:r>
                </w:p>
              </w:tc>
              <w:tc>
                <w:tcPr>
                  <w:tcW w:w="3119" w:type="dxa"/>
                </w:tcPr>
                <w:p w:rsidR="006A4259" w:rsidRPr="00483D97" w:rsidRDefault="006A4259" w:rsidP="006A4259">
                  <w:pPr>
                    <w:widowControl w:val="0"/>
                    <w:autoSpaceDE w:val="0"/>
                    <w:autoSpaceDN w:val="0"/>
                    <w:adjustRightInd w:val="0"/>
                    <w:rPr>
                      <w:rFonts w:ascii="Times New Roman" w:hAnsi="Times New Roman"/>
                      <w:sz w:val="20"/>
                      <w:szCs w:val="20"/>
                    </w:rPr>
                  </w:pPr>
                  <w:r w:rsidRPr="00483D97">
                    <w:rPr>
                      <w:rFonts w:ascii="Times New Roman" w:hAnsi="Times New Roman"/>
                      <w:sz w:val="20"/>
                      <w:szCs w:val="20"/>
                    </w:rPr>
                    <w:t>Гусеничный экскаватор 25т с объемом ковша 1,1 м</w:t>
                  </w:r>
                  <w:r w:rsidRPr="00483D97">
                    <w:rPr>
                      <w:rFonts w:ascii="Times New Roman" w:hAnsi="Times New Roman"/>
                      <w:sz w:val="20"/>
                      <w:szCs w:val="20"/>
                      <w:vertAlign w:val="superscript"/>
                    </w:rPr>
                    <w:t>3</w:t>
                  </w:r>
                </w:p>
              </w:tc>
              <w:tc>
                <w:tcPr>
                  <w:tcW w:w="1559" w:type="dxa"/>
                  <w:vAlign w:val="center"/>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1</w:t>
                  </w:r>
                </w:p>
              </w:tc>
              <w:tc>
                <w:tcPr>
                  <w:tcW w:w="1985" w:type="dxa"/>
                  <w:vAlign w:val="center"/>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2350,00</w:t>
                  </w:r>
                </w:p>
              </w:tc>
              <w:tc>
                <w:tcPr>
                  <w:tcW w:w="1984" w:type="dxa"/>
                  <w:vAlign w:val="center"/>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1958,33</w:t>
                  </w:r>
                </w:p>
              </w:tc>
              <w:tc>
                <w:tcPr>
                  <w:tcW w:w="1701" w:type="dxa"/>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50</w:t>
                  </w:r>
                </w:p>
              </w:tc>
            </w:tr>
            <w:tr w:rsidR="006A4259" w:rsidRPr="006A4259" w:rsidTr="006A4259">
              <w:trPr>
                <w:trHeight w:val="280"/>
              </w:trPr>
              <w:tc>
                <w:tcPr>
                  <w:tcW w:w="562" w:type="dxa"/>
                </w:tcPr>
                <w:p w:rsidR="006A4259" w:rsidRPr="006A4259" w:rsidRDefault="006A4259" w:rsidP="006A4259">
                  <w:pPr>
                    <w:jc w:val="both"/>
                    <w:rPr>
                      <w:rFonts w:ascii="Times New Roman" w:hAnsi="Times New Roman"/>
                      <w:sz w:val="20"/>
                      <w:szCs w:val="20"/>
                    </w:rPr>
                  </w:pPr>
                  <w:r w:rsidRPr="006A4259">
                    <w:rPr>
                      <w:rFonts w:ascii="Times New Roman" w:hAnsi="Times New Roman"/>
                      <w:sz w:val="20"/>
                      <w:szCs w:val="20"/>
                    </w:rPr>
                    <w:t>2</w:t>
                  </w:r>
                </w:p>
              </w:tc>
              <w:tc>
                <w:tcPr>
                  <w:tcW w:w="3119" w:type="dxa"/>
                </w:tcPr>
                <w:p w:rsidR="006A4259" w:rsidRPr="00483D97" w:rsidRDefault="006A4259" w:rsidP="006A4259">
                  <w:pPr>
                    <w:widowControl w:val="0"/>
                    <w:autoSpaceDE w:val="0"/>
                    <w:autoSpaceDN w:val="0"/>
                    <w:adjustRightInd w:val="0"/>
                    <w:rPr>
                      <w:rFonts w:ascii="Times New Roman" w:hAnsi="Times New Roman"/>
                      <w:sz w:val="20"/>
                      <w:szCs w:val="20"/>
                    </w:rPr>
                  </w:pPr>
                  <w:r w:rsidRPr="00483D97">
                    <w:rPr>
                      <w:rFonts w:ascii="Times New Roman" w:hAnsi="Times New Roman"/>
                      <w:sz w:val="20"/>
                      <w:szCs w:val="20"/>
                    </w:rPr>
                    <w:t xml:space="preserve">Бульдозер </w:t>
                  </w:r>
                  <w:r w:rsidRPr="00483D97">
                    <w:rPr>
                      <w:rFonts w:ascii="Times New Roman" w:hAnsi="Times New Roman"/>
                      <w:sz w:val="20"/>
                      <w:szCs w:val="20"/>
                      <w:lang w:val="en-US"/>
                    </w:rPr>
                    <w:t>Cat</w:t>
                  </w:r>
                  <w:r w:rsidRPr="00483D97">
                    <w:rPr>
                      <w:rFonts w:ascii="Times New Roman" w:hAnsi="Times New Roman"/>
                      <w:sz w:val="20"/>
                      <w:szCs w:val="20"/>
                    </w:rPr>
                    <w:t xml:space="preserve"> 9</w:t>
                  </w:r>
                </w:p>
              </w:tc>
              <w:tc>
                <w:tcPr>
                  <w:tcW w:w="1559" w:type="dxa"/>
                  <w:vAlign w:val="center"/>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1</w:t>
                  </w:r>
                </w:p>
              </w:tc>
              <w:tc>
                <w:tcPr>
                  <w:tcW w:w="1985" w:type="dxa"/>
                </w:tcPr>
                <w:p w:rsidR="006A4259" w:rsidRPr="006A4259" w:rsidRDefault="006A4259" w:rsidP="006A4259">
                  <w:pPr>
                    <w:tabs>
                      <w:tab w:val="left" w:pos="4605"/>
                      <w:tab w:val="left" w:pos="12825"/>
                    </w:tabs>
                    <w:jc w:val="center"/>
                    <w:rPr>
                      <w:rFonts w:ascii="Times New Roman" w:hAnsi="Times New Roman"/>
                      <w:sz w:val="20"/>
                      <w:szCs w:val="20"/>
                    </w:rPr>
                  </w:pPr>
                  <w:r w:rsidRPr="006A4259">
                    <w:rPr>
                      <w:rFonts w:ascii="Times New Roman" w:hAnsi="Times New Roman"/>
                      <w:sz w:val="20"/>
                      <w:szCs w:val="20"/>
                    </w:rPr>
                    <w:t>3600,00</w:t>
                  </w:r>
                </w:p>
              </w:tc>
              <w:tc>
                <w:tcPr>
                  <w:tcW w:w="1984" w:type="dxa"/>
                  <w:vAlign w:val="center"/>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3000,00</w:t>
                  </w:r>
                </w:p>
              </w:tc>
              <w:tc>
                <w:tcPr>
                  <w:tcW w:w="1701" w:type="dxa"/>
                </w:tcPr>
                <w:p w:rsidR="006A4259" w:rsidRPr="006A4259" w:rsidRDefault="006A4259" w:rsidP="006A4259">
                  <w:pPr>
                    <w:jc w:val="center"/>
                    <w:rPr>
                      <w:rFonts w:ascii="Times New Roman" w:hAnsi="Times New Roman"/>
                      <w:sz w:val="20"/>
                      <w:szCs w:val="20"/>
                    </w:rPr>
                  </w:pPr>
                  <w:r w:rsidRPr="006A4259">
                    <w:rPr>
                      <w:rFonts w:ascii="Times New Roman" w:hAnsi="Times New Roman"/>
                      <w:sz w:val="20"/>
                      <w:szCs w:val="20"/>
                    </w:rPr>
                    <w:t>50</w:t>
                  </w:r>
                </w:p>
              </w:tc>
            </w:tr>
            <w:tr w:rsidR="006A4259" w:rsidRPr="006A4259" w:rsidTr="006779FF">
              <w:trPr>
                <w:trHeight w:val="280"/>
              </w:trPr>
              <w:tc>
                <w:tcPr>
                  <w:tcW w:w="9209" w:type="dxa"/>
                  <w:gridSpan w:val="5"/>
                </w:tcPr>
                <w:p w:rsidR="006A4259" w:rsidRPr="006A4259" w:rsidRDefault="006A4259" w:rsidP="006A4259">
                  <w:pPr>
                    <w:rPr>
                      <w:rFonts w:ascii="Times New Roman" w:hAnsi="Times New Roman"/>
                      <w:sz w:val="20"/>
                      <w:szCs w:val="20"/>
                    </w:rPr>
                  </w:pPr>
                  <w:r>
                    <w:rPr>
                      <w:rFonts w:ascii="Times New Roman" w:hAnsi="Times New Roman"/>
                      <w:sz w:val="20"/>
                      <w:szCs w:val="20"/>
                    </w:rPr>
                    <w:t>ИТОГО:</w:t>
                  </w:r>
                </w:p>
              </w:tc>
              <w:tc>
                <w:tcPr>
                  <w:tcW w:w="1701" w:type="dxa"/>
                </w:tcPr>
                <w:p w:rsidR="006A4259" w:rsidRPr="006A4259" w:rsidRDefault="006A4259" w:rsidP="006A4259">
                  <w:pPr>
                    <w:jc w:val="center"/>
                    <w:rPr>
                      <w:rFonts w:ascii="Times New Roman" w:hAnsi="Times New Roman"/>
                      <w:sz w:val="20"/>
                      <w:szCs w:val="20"/>
                    </w:rPr>
                  </w:pPr>
                  <w:r>
                    <w:rPr>
                      <w:rFonts w:ascii="Times New Roman" w:hAnsi="Times New Roman"/>
                      <w:sz w:val="20"/>
                      <w:szCs w:val="20"/>
                    </w:rPr>
                    <w:t>100 баллов</w:t>
                  </w:r>
                </w:p>
              </w:tc>
            </w:tr>
          </w:tbl>
          <w:p w:rsidR="000017E2" w:rsidRPr="001D511C" w:rsidRDefault="000017E2"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20CDB">
              <w:rPr>
                <w:rFonts w:ascii="Times New Roman" w:hAnsi="Times New Roman" w:cs="Times New Roman"/>
                <w:b/>
                <w:sz w:val="24"/>
                <w:szCs w:val="24"/>
              </w:rPr>
              <w:t>2</w:t>
            </w:r>
            <w:r w:rsidR="008625E5">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FD061B" w:rsidRPr="00FD061B">
              <w:rPr>
                <w:rFonts w:ascii="Times New Roman" w:hAnsi="Times New Roman" w:cs="Times New Roman"/>
                <w:b/>
                <w:sz w:val="24"/>
                <w:szCs w:val="24"/>
              </w:rPr>
              <w:t xml:space="preserve">апреля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8625E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8625E5">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FD061B" w:rsidRPr="00FD061B">
              <w:rPr>
                <w:rFonts w:ascii="Times New Roman" w:hAnsi="Times New Roman" w:cs="Times New Roman"/>
                <w:b/>
                <w:sz w:val="24"/>
                <w:szCs w:val="24"/>
              </w:rPr>
              <w:t xml:space="preserve">апреля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8625E5">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w:t>
            </w:r>
            <w:r w:rsidRPr="00A037C3">
              <w:rPr>
                <w:szCs w:val="24"/>
              </w:rPr>
              <w:lastRenderedPageBreak/>
              <w:t xml:space="preserve">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352" w:rsidRDefault="00BB5352" w:rsidP="0097081F">
      <w:pPr>
        <w:spacing w:after="0" w:line="240" w:lineRule="auto"/>
      </w:pPr>
      <w:r>
        <w:separator/>
      </w:r>
    </w:p>
  </w:endnote>
  <w:endnote w:type="continuationSeparator" w:id="0">
    <w:p w:rsidR="00BB5352" w:rsidRDefault="00BB5352"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B40117">
          <w:rPr>
            <w:noProof/>
          </w:rPr>
          <w:t>1</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352" w:rsidRDefault="00BB5352" w:rsidP="0097081F">
      <w:pPr>
        <w:spacing w:after="0" w:line="240" w:lineRule="auto"/>
      </w:pPr>
      <w:r>
        <w:separator/>
      </w:r>
    </w:p>
  </w:footnote>
  <w:footnote w:type="continuationSeparator" w:id="0">
    <w:p w:rsidR="00BB5352" w:rsidRDefault="00BB5352"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242D6B"/>
    <w:multiLevelType w:val="hybridMultilevel"/>
    <w:tmpl w:val="18D278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8"/>
  </w:num>
  <w:num w:numId="5">
    <w:abstractNumId w:val="4"/>
  </w:num>
  <w:num w:numId="6">
    <w:abstractNumId w:val="2"/>
  </w:num>
  <w:num w:numId="7">
    <w:abstractNumId w:val="7"/>
  </w:num>
  <w:num w:numId="8">
    <w:abstractNumId w:val="1"/>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6D3"/>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208"/>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72B"/>
    <w:rsid w:val="001E7F9F"/>
    <w:rsid w:val="001F027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5AA0"/>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6910"/>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59BC"/>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3D97"/>
    <w:rsid w:val="00484774"/>
    <w:rsid w:val="004855FA"/>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76C"/>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7CA"/>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259"/>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09CB"/>
    <w:rsid w:val="006C142E"/>
    <w:rsid w:val="006C179B"/>
    <w:rsid w:val="006C33BF"/>
    <w:rsid w:val="006C37C1"/>
    <w:rsid w:val="006C3AD5"/>
    <w:rsid w:val="006C3EE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1DEF"/>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121F"/>
    <w:rsid w:val="0086208E"/>
    <w:rsid w:val="008625E5"/>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1B85"/>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172C"/>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0117"/>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5352"/>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22E"/>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901"/>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3EDD"/>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6819"/>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315E"/>
    <w:rsid w:val="00FC41BE"/>
    <w:rsid w:val="00FC43ED"/>
    <w:rsid w:val="00FC679F"/>
    <w:rsid w:val="00FC6DFE"/>
    <w:rsid w:val="00FC769A"/>
    <w:rsid w:val="00FD061B"/>
    <w:rsid w:val="00FD12A5"/>
    <w:rsid w:val="00FD1607"/>
    <w:rsid w:val="00FD194B"/>
    <w:rsid w:val="00FD1DD4"/>
    <w:rsid w:val="00FD3659"/>
    <w:rsid w:val="00FD5ADA"/>
    <w:rsid w:val="00FE1168"/>
    <w:rsid w:val="00FE1869"/>
    <w:rsid w:val="00FE36AE"/>
    <w:rsid w:val="00FE5ED6"/>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DF32F-8EC3-4307-8E42-DECA6FF3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2858</Words>
  <Characters>16295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89</cp:revision>
  <cp:lastPrinted>2017-03-23T12:17:00Z</cp:lastPrinted>
  <dcterms:created xsi:type="dcterms:W3CDTF">2017-10-11T07:28:00Z</dcterms:created>
  <dcterms:modified xsi:type="dcterms:W3CDTF">2019-04-16T11:22:00Z</dcterms:modified>
</cp:coreProperties>
</file>