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857" w:rsidRPr="00BD11AF" w:rsidRDefault="00C74857" w:rsidP="00C7485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bookmarkStart w:id="0" w:name="_GoBack"/>
      <w:bookmarkEnd w:id="0"/>
    </w:p>
    <w:p w:rsidR="00C74857" w:rsidRPr="006A7DA3" w:rsidRDefault="00C74857" w:rsidP="00C74857">
      <w:pPr>
        <w:spacing w:after="120"/>
        <w:jc w:val="center"/>
        <w:rPr>
          <w:rFonts w:ascii="Times New Roman" w:eastAsia="Calibri" w:hAnsi="Times New Roman" w:cs="Times New Roman"/>
          <w:b/>
          <w:color w:val="000000"/>
        </w:rPr>
      </w:pPr>
      <w:r w:rsidRPr="006A7DA3">
        <w:rPr>
          <w:rFonts w:ascii="Times New Roman" w:eastAsia="Calibri" w:hAnsi="Times New Roman" w:cs="Times New Roman"/>
          <w:b/>
          <w:color w:val="000000"/>
        </w:rPr>
        <w:t xml:space="preserve">Требования для составления сметной документации  </w:t>
      </w:r>
    </w:p>
    <w:p w:rsidR="00C74857" w:rsidRPr="006A7DA3" w:rsidRDefault="00C74857" w:rsidP="00C74857">
      <w:pPr>
        <w:spacing w:after="120"/>
        <w:jc w:val="center"/>
        <w:rPr>
          <w:rFonts w:ascii="Times New Roman" w:eastAsia="Calibri" w:hAnsi="Times New Roman" w:cs="Times New Roman"/>
          <w:b/>
          <w:color w:val="000000"/>
        </w:rPr>
      </w:pPr>
      <w:r w:rsidRPr="006A7DA3">
        <w:rPr>
          <w:rFonts w:ascii="Times New Roman" w:eastAsia="Calibri" w:hAnsi="Times New Roman" w:cs="Times New Roman"/>
          <w:b/>
          <w:color w:val="000000"/>
        </w:rPr>
        <w:t>1.Требования для составления сметной документации базисно-индексным методом *</w:t>
      </w: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C74857" w:rsidRPr="006A7DA3" w:rsidTr="00A26216">
        <w:trPr>
          <w:trHeight w:val="495"/>
          <w:tblHeader/>
          <w:jc w:val="center"/>
        </w:trPr>
        <w:tc>
          <w:tcPr>
            <w:tcW w:w="598" w:type="dxa"/>
            <w:vAlign w:val="center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3168" w:type="dxa"/>
            <w:vAlign w:val="center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Наименование</w:t>
            </w:r>
          </w:p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показателя</w:t>
            </w:r>
          </w:p>
        </w:tc>
        <w:tc>
          <w:tcPr>
            <w:tcW w:w="6233" w:type="dxa"/>
            <w:vAlign w:val="center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Показатель</w:t>
            </w:r>
          </w:p>
        </w:tc>
      </w:tr>
      <w:tr w:rsidR="00C74857" w:rsidRPr="006A7DA3" w:rsidTr="00A26216">
        <w:trPr>
          <w:trHeight w:val="262"/>
          <w:jc w:val="center"/>
        </w:trPr>
        <w:tc>
          <w:tcPr>
            <w:tcW w:w="59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316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6233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C74857" w:rsidRPr="006A7DA3" w:rsidTr="00A26216">
        <w:trPr>
          <w:trHeight w:val="749"/>
          <w:jc w:val="center"/>
        </w:trPr>
        <w:tc>
          <w:tcPr>
            <w:tcW w:w="59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168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Нормативная база и пересчет в текущие цены</w:t>
            </w:r>
          </w:p>
        </w:tc>
        <w:tc>
          <w:tcPr>
            <w:tcW w:w="6233" w:type="dxa"/>
          </w:tcPr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Федерации, с применением, в сметно-нормативной базе ТЕР-2001/ФЕР-2001 (ТЕР Краснодарского края), в редакции действующей на момент составления сметной документации с применением сметных нормативов, включенных в федеральный реестр, в базисном уровне цен по состоянию на 01.01.2000 года и в текущем уровне цен в рублевом эквиваленте.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При этом перерасчет стоимости из базового уровня цен в текущий осуществлять с использованием поквартальных прогнозных </w:t>
            </w: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индексов изменения сметной стоимости строительно-монтажных и пусконаладочных работ по объектам строительства по Южному федеральному округу, для Краснодарского края, индексов изменения сметной стоимости оборудования для объектов непроизводственного назначения, разработанных Министерством строительства и жилищно-коммунального хозяйства Российской Федерации. </w:t>
            </w:r>
          </w:p>
        </w:tc>
      </w:tr>
      <w:tr w:rsidR="00C74857" w:rsidRPr="006A7DA3" w:rsidTr="00A26216">
        <w:trPr>
          <w:trHeight w:val="749"/>
          <w:jc w:val="center"/>
        </w:trPr>
        <w:tc>
          <w:tcPr>
            <w:tcW w:w="59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168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Стоимость 1 </w:t>
            </w:r>
            <w:proofErr w:type="spellStart"/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-час эксплуатации строительных машин и механизмов</w:t>
            </w:r>
          </w:p>
        </w:tc>
        <w:tc>
          <w:tcPr>
            <w:tcW w:w="6233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соответствии с действующими нормативными документами</w:t>
            </w:r>
            <w:r w:rsidRPr="006A7DA3" w:rsidDel="00530A4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74857" w:rsidRPr="006A7DA3" w:rsidTr="00A26216">
        <w:trPr>
          <w:trHeight w:val="772"/>
          <w:jc w:val="center"/>
        </w:trPr>
        <w:tc>
          <w:tcPr>
            <w:tcW w:w="59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168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</w:tcPr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Стоимость применяемых материалов, изделий и конструкций определяется по Территориальному сборнику сметных цен на материалы, изделия и конструкции для Краснодарского края (ТССЦ) /федеральному сборнику сметных цен (ФССЦ).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Стоимость применяемых материалов, изделий и конструкций, отсутствующих в ТССЦ/ФССЦ или по условиям строительства отличных от учтенных в базовых нормах, определяется по СССЦ/ФГИС. В случаи отсутствия в СССЦ/ФГИС – на основании коммерческ</w:t>
            </w:r>
            <w:r w:rsidR="006D680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ого предложения (прайс-листа</w:t>
            </w: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) поставщик</w:t>
            </w:r>
            <w:r w:rsidR="006D680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</w:t>
            </w:r>
            <w:r w:rsidRPr="006A7DA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.</w:t>
            </w: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D680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При этом</w:t>
            </w: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должны быть отражены наименование поставщика, дата предложения или </w:t>
            </w:r>
            <w:proofErr w:type="spellStart"/>
            <w:proofErr w:type="gramStart"/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гипер</w:t>
            </w:r>
            <w:proofErr w:type="spellEnd"/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-ссылка</w:t>
            </w:r>
            <w:proofErr w:type="gramEnd"/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при условии получения информации из открытых источников сети-Интернет. 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Пересчет стоимости материала из текущего уровня цен в базовый уровень цен осуществляется с использованием индексов изменения сметной стоимости строительно-монтажных работ по Южному федеральному округу, для Краснодарского края, рекомендуемых Министерством строительства и жилищно-коммунального хозяйства Российской Федерации. 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 xml:space="preserve">В каждой строке локальной сметы, где стоимость материалов определена по коммерческим предложениям, прайс-листам поставщиков должно </w:t>
            </w:r>
            <w:proofErr w:type="gramStart"/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быть  расшифровано</w:t>
            </w:r>
            <w:proofErr w:type="gramEnd"/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ценообразование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C74857" w:rsidRPr="006A7DA3" w:rsidTr="00A26216">
        <w:trPr>
          <w:trHeight w:val="772"/>
          <w:jc w:val="center"/>
        </w:trPr>
        <w:tc>
          <w:tcPr>
            <w:tcW w:w="59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3168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соответствии с действующими нормативными документами.</w:t>
            </w:r>
          </w:p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74857" w:rsidRPr="006A7DA3" w:rsidTr="00C74857">
        <w:trPr>
          <w:trHeight w:val="157"/>
          <w:jc w:val="center"/>
        </w:trPr>
        <w:tc>
          <w:tcPr>
            <w:tcW w:w="59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168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Стоимость оборудования, мебели и инвентаря</w:t>
            </w:r>
          </w:p>
        </w:tc>
        <w:tc>
          <w:tcPr>
            <w:tcW w:w="6233" w:type="dxa"/>
          </w:tcPr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Стоимость оборудования, мебели и инвентаря определяется по Территориальному сборнику сметных цен на материалы, изделия и конструкции для Краснодарского края (ТССЦ) /федеральному сборнику сметных цен (ФССЦ).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Стоимость оборудования, мебели и инвентаря, отсутствующих в ТССЦ/ФССЦ или по условиям строительства отличных от учтенных в базовых нормах, определять по СССЦ/ФГИС. В случаи отсутствия в СССЦ/ФГИС – на основании коммерческ</w:t>
            </w:r>
            <w:r w:rsidR="006D680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ого</w:t>
            </w: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предложения (прайс-лист</w:t>
            </w:r>
            <w:r w:rsidR="006D680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</w:t>
            </w: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) </w:t>
            </w:r>
            <w:r w:rsidR="006D680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поставщика</w:t>
            </w: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A7DA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(приложен</w:t>
            </w:r>
            <w:r w:rsidR="006D6805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ие № 3 к Техническому заданию), где </w:t>
            </w: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должны быть отражены наименование поставщика, дата предложения или </w:t>
            </w:r>
            <w:proofErr w:type="spellStart"/>
            <w:proofErr w:type="gramStart"/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гипер</w:t>
            </w:r>
            <w:proofErr w:type="spellEnd"/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-ссылка</w:t>
            </w:r>
            <w:proofErr w:type="gramEnd"/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при условии получения информации из открытых источников сети-Интернет.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Пересчет стоимости оборудования, мебели и инвентаря из текущего уровня цен в базовый уровень цен осуществляется с использованием индексов изменения сметной стоимости оборудования для объектов непроизводственного назначения, рекомендуемых Министерством строительства и жилищно-коммунального хозяйства Российской Федерации.  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В каждой строке локальной сметы, где стоимость оборудования определенна по коммерческим предложениям, прайс-листам должно </w:t>
            </w:r>
            <w:proofErr w:type="gramStart"/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быть  расшифровано</w:t>
            </w:r>
            <w:proofErr w:type="gramEnd"/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ценообразование.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При составлении локальных смет на монтаж оборудования стоимость оборудования выделяется в отдельный раздел, а в позициях по монтажу указывается наименование устанавливаемого по данной расценке оборудования.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74857" w:rsidRPr="006A7DA3" w:rsidTr="00A26216">
        <w:trPr>
          <w:trHeight w:val="263"/>
          <w:jc w:val="center"/>
        </w:trPr>
        <w:tc>
          <w:tcPr>
            <w:tcW w:w="59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3168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Размеры накладных расходов</w:t>
            </w:r>
          </w:p>
        </w:tc>
        <w:tc>
          <w:tcPr>
            <w:tcW w:w="6233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В соответствии с действующими нормативными документами по определению величины накладных расходов.</w:t>
            </w:r>
          </w:p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74857" w:rsidRPr="006A7DA3" w:rsidTr="00A26216">
        <w:trPr>
          <w:trHeight w:val="263"/>
          <w:jc w:val="center"/>
        </w:trPr>
        <w:tc>
          <w:tcPr>
            <w:tcW w:w="59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3168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Размер сметной прибыли</w:t>
            </w:r>
          </w:p>
        </w:tc>
        <w:tc>
          <w:tcPr>
            <w:tcW w:w="6233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В соответствии с действующими нормативными документами по определению величины сметной прибыли.</w:t>
            </w:r>
          </w:p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74857" w:rsidRPr="006A7DA3" w:rsidTr="00A26216">
        <w:trPr>
          <w:trHeight w:val="510"/>
          <w:jc w:val="center"/>
        </w:trPr>
        <w:tc>
          <w:tcPr>
            <w:tcW w:w="59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8.</w:t>
            </w:r>
          </w:p>
        </w:tc>
        <w:tc>
          <w:tcPr>
            <w:tcW w:w="3168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В соответствии с действующими нормативными документами по определению затрат на временные здания и вооружения.</w:t>
            </w:r>
          </w:p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74857" w:rsidRPr="006A7DA3" w:rsidTr="00A26216">
        <w:trPr>
          <w:trHeight w:val="350"/>
          <w:jc w:val="center"/>
        </w:trPr>
        <w:tc>
          <w:tcPr>
            <w:tcW w:w="59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3168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Затраты по гл. 1, 9, 10, 12</w:t>
            </w:r>
          </w:p>
        </w:tc>
        <w:tc>
          <w:tcPr>
            <w:tcW w:w="6233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Затраты предусматриваются в соответствии с действующими нормативными документами.</w:t>
            </w:r>
            <w:r w:rsidR="006D680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74857" w:rsidRPr="006A7DA3" w:rsidTr="00A26216">
        <w:trPr>
          <w:trHeight w:val="381"/>
          <w:jc w:val="center"/>
        </w:trPr>
        <w:tc>
          <w:tcPr>
            <w:tcW w:w="59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3168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Резерв средств на непредвиденные расходы </w:t>
            </w:r>
          </w:p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33" w:type="dxa"/>
          </w:tcPr>
          <w:p w:rsidR="00C74857" w:rsidRPr="006A7DA3" w:rsidRDefault="00C74857" w:rsidP="00A26216">
            <w:pPr>
              <w:ind w:left="2" w:right="8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Наличие резерва и величина средств на непредвиденные расходы устанавливается Заказчиком. </w:t>
            </w:r>
          </w:p>
          <w:p w:rsidR="00C74857" w:rsidRPr="006A7DA3" w:rsidRDefault="00C74857" w:rsidP="00A26216">
            <w:pPr>
              <w:ind w:left="2" w:right="8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74857" w:rsidRPr="006A7DA3" w:rsidTr="00A26216">
        <w:trPr>
          <w:trHeight w:val="985"/>
          <w:jc w:val="center"/>
        </w:trPr>
        <w:tc>
          <w:tcPr>
            <w:tcW w:w="59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3168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</w:tcPr>
          <w:p w:rsidR="00C74857" w:rsidRPr="006A7DA3" w:rsidRDefault="00C74857" w:rsidP="00A26216">
            <w:pPr>
              <w:ind w:left="2" w:right="8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Расчеты выполняются в соответствии с ППР, согласованным Заказчиком. Расстояние перевозки принимается на основании транспортных схем, разработанных/согласованных с Заказчиком. Предусмотреть возврат стоимости материалов от разборки.</w:t>
            </w:r>
          </w:p>
          <w:p w:rsidR="00C74857" w:rsidRPr="006A7DA3" w:rsidRDefault="00C74857" w:rsidP="00A26216">
            <w:pPr>
              <w:ind w:left="2" w:right="8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74857" w:rsidRPr="006A7DA3" w:rsidTr="00A26216">
        <w:trPr>
          <w:trHeight w:val="530"/>
          <w:jc w:val="center"/>
        </w:trPr>
        <w:tc>
          <w:tcPr>
            <w:tcW w:w="59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3168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Дополнительные требования</w:t>
            </w:r>
          </w:p>
        </w:tc>
        <w:tc>
          <w:tcPr>
            <w:tcW w:w="6233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Итоги в разделах локальных смет должны быть отражены по разделам сметы с начислением накладных расходов и сметной прибыли. </w:t>
            </w:r>
          </w:p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пояснительной записке к сметной документации указывается все применяемые индексы и коэффициенты.</w:t>
            </w:r>
          </w:p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C74857" w:rsidRDefault="00C74857" w:rsidP="00C74857">
      <w:pPr>
        <w:tabs>
          <w:tab w:val="left" w:pos="7300"/>
        </w:tabs>
        <w:jc w:val="center"/>
        <w:rPr>
          <w:rFonts w:ascii="Times New Roman" w:eastAsia="Calibri" w:hAnsi="Times New Roman" w:cs="Times New Roman"/>
          <w:b/>
        </w:rPr>
      </w:pPr>
    </w:p>
    <w:p w:rsidR="00C74857" w:rsidRPr="006A7DA3" w:rsidRDefault="00C74857" w:rsidP="00C74857">
      <w:pPr>
        <w:tabs>
          <w:tab w:val="left" w:pos="7300"/>
        </w:tabs>
        <w:jc w:val="center"/>
        <w:rPr>
          <w:rFonts w:ascii="Times New Roman" w:eastAsia="Calibri" w:hAnsi="Times New Roman" w:cs="Times New Roman"/>
          <w:b/>
        </w:rPr>
      </w:pPr>
      <w:r w:rsidRPr="006A7DA3">
        <w:rPr>
          <w:rFonts w:ascii="Times New Roman" w:eastAsia="Calibri" w:hAnsi="Times New Roman" w:cs="Times New Roman"/>
          <w:b/>
        </w:rPr>
        <w:t xml:space="preserve">2.Требования для составления сметной документации ресурсным методом* </w:t>
      </w: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C74857" w:rsidRPr="006A7DA3" w:rsidTr="00A26216">
        <w:trPr>
          <w:trHeight w:val="495"/>
          <w:tblHeader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</w:t>
            </w:r>
          </w:p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168" w:type="dxa"/>
            <w:shd w:val="clear" w:color="auto" w:fill="auto"/>
            <w:vAlign w:val="center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</w:t>
            </w:r>
          </w:p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показателя</w:t>
            </w:r>
          </w:p>
        </w:tc>
        <w:tc>
          <w:tcPr>
            <w:tcW w:w="6233" w:type="dxa"/>
            <w:shd w:val="clear" w:color="auto" w:fill="auto"/>
            <w:vAlign w:val="center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Показатель</w:t>
            </w:r>
          </w:p>
        </w:tc>
      </w:tr>
      <w:tr w:rsidR="00C74857" w:rsidRPr="006A7DA3" w:rsidTr="00A26216">
        <w:trPr>
          <w:trHeight w:val="262"/>
          <w:jc w:val="center"/>
        </w:trPr>
        <w:tc>
          <w:tcPr>
            <w:tcW w:w="598" w:type="dxa"/>
            <w:shd w:val="clear" w:color="auto" w:fill="auto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16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233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C74857" w:rsidRPr="006A7DA3" w:rsidTr="00A26216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6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Нормативная база и уровень цен</w:t>
            </w:r>
          </w:p>
        </w:tc>
        <w:tc>
          <w:tcPr>
            <w:tcW w:w="6233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Федерации, с применением сметных нормативов, в редакции действующей на момент составления сметной документации, включенными в федеральный реестр, в текущем уровне цен по состоянию на период составления сметной документации в рублевом эквиваленте. </w:t>
            </w:r>
          </w:p>
          <w:p w:rsidR="00C74857" w:rsidRPr="006A7DA3" w:rsidRDefault="00C74857" w:rsidP="00A26216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Стоимость ресурсов учитывается согласно сборников текущих средних сметных цен Краснодарского края, разработанных ГАУ «</w:t>
            </w:r>
            <w:proofErr w:type="spellStart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Краснодаркрайгосэкспертиза</w:t>
            </w:r>
            <w:proofErr w:type="spellEnd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(далее – </w:t>
            </w:r>
            <w:proofErr w:type="gramStart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СССЦ)/</w:t>
            </w:r>
            <w:proofErr w:type="gramEnd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сборников сметных цен строительных ресурсов, определенных </w:t>
            </w:r>
            <w:proofErr w:type="spellStart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Министерстовом</w:t>
            </w:r>
            <w:proofErr w:type="spellEnd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строительства и ЖКХ РФ, размещенных в федеральной государственной информационной системе ценообразования (далее – ФГИС)  или рекомендованных к применению в ином, установленном Министерством порядке. </w:t>
            </w:r>
          </w:p>
          <w:p w:rsidR="00C74857" w:rsidRPr="006A7DA3" w:rsidRDefault="00C74857" w:rsidP="00A26216">
            <w:pPr>
              <w:ind w:firstLine="708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 отсутствии прямых расценок, а </w:t>
            </w:r>
            <w:proofErr w:type="gramStart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так же</w:t>
            </w:r>
            <w:proofErr w:type="gramEnd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для определения сметной стоимости эксплуатационных работ, работ по техническому обслуживанию и содержанию объектов и инженерных систем за основу </w:t>
            </w: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могут быть приняты сметные нормы и правила ведомственных и прочих сборников, фирменных сметных нормативов, территориальных сметных нормативов и других сборников, разработанных и утвержденных на основании нормативных правовых документов.</w:t>
            </w:r>
          </w:p>
        </w:tc>
      </w:tr>
      <w:tr w:rsidR="00C74857" w:rsidRPr="006A7DA3" w:rsidTr="00A26216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2.</w:t>
            </w:r>
          </w:p>
        </w:tc>
        <w:tc>
          <w:tcPr>
            <w:tcW w:w="316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Стоимость 1 </w:t>
            </w:r>
            <w:proofErr w:type="spellStart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маш</w:t>
            </w:r>
            <w:proofErr w:type="spellEnd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-час эксплуатации строительных машин и механизмов</w:t>
            </w:r>
          </w:p>
        </w:tc>
        <w:tc>
          <w:tcPr>
            <w:tcW w:w="6233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соответствии с действующими нормативными документами. </w:t>
            </w:r>
          </w:p>
        </w:tc>
      </w:tr>
      <w:tr w:rsidR="00C74857" w:rsidRPr="006A7DA3" w:rsidTr="00A26216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16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  <w:shd w:val="clear" w:color="auto" w:fill="auto"/>
          </w:tcPr>
          <w:p w:rsidR="006D6805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Стоимость применяемых материалов, изделий и конструкций определяется по сборнику текущих средних сметных цен Краснодарского края, разработанных ГАУ «</w:t>
            </w:r>
            <w:proofErr w:type="spellStart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Краснодаркрайгосэкспертиза</w:t>
            </w:r>
            <w:proofErr w:type="spellEnd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(далее – </w:t>
            </w:r>
            <w:proofErr w:type="gramStart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СССЦ)/</w:t>
            </w:r>
            <w:proofErr w:type="gramEnd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сборнику цен строительных ресурсов, определенных Министерством строительства и ЖКХ РФ, размещенных в федеральной государственной информационной системе ценообразования (далее – ФГИС). Стоимость применяемых материалов, изделий и конструкций, отсутствующих в СССЦ/ФГИС, включается на основании коммерческ</w:t>
            </w:r>
            <w:r w:rsidR="006D6805">
              <w:rPr>
                <w:rFonts w:ascii="Times New Roman" w:eastAsia="Calibri" w:hAnsi="Times New Roman" w:cs="Times New Roman"/>
                <w:sz w:val="20"/>
                <w:szCs w:val="20"/>
              </w:rPr>
              <w:t>ого</w:t>
            </w: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предложения (прайс-листы</w:t>
            </w:r>
            <w:r w:rsidR="006D68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поставщика</w:t>
            </w: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В </w:t>
            </w:r>
            <w:r w:rsidR="006D6805">
              <w:rPr>
                <w:rFonts w:ascii="Times New Roman" w:eastAsia="Calibri" w:hAnsi="Times New Roman" w:cs="Times New Roman"/>
                <w:sz w:val="20"/>
                <w:szCs w:val="20"/>
              </w:rPr>
              <w:t>нем</w:t>
            </w: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должны быть отражены наименование поставщика, дата предложения или </w:t>
            </w:r>
            <w:proofErr w:type="spellStart"/>
            <w:proofErr w:type="gramStart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гипер</w:t>
            </w:r>
            <w:proofErr w:type="spellEnd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-ссылка</w:t>
            </w:r>
            <w:proofErr w:type="gramEnd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, при условии получения информации из открытых источников сети-Интернет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В каждой строке локальной сметы, где стоимость материалов определена по коммерческим предложениям, прайс-листам поставщиков необходима расшифровка ценообразования.</w:t>
            </w:r>
          </w:p>
        </w:tc>
      </w:tr>
      <w:tr w:rsidR="00C74857" w:rsidRPr="006A7DA3" w:rsidTr="00A26216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16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ind w:right="5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соответствии с действующими нормативными документами. </w:t>
            </w:r>
          </w:p>
        </w:tc>
      </w:tr>
      <w:tr w:rsidR="00C74857" w:rsidRPr="006A7DA3" w:rsidTr="00A26216">
        <w:trPr>
          <w:trHeight w:val="1049"/>
          <w:jc w:val="center"/>
        </w:trPr>
        <w:tc>
          <w:tcPr>
            <w:tcW w:w="59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16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Стоимость оборудования, мебели и инвентаря</w:t>
            </w:r>
          </w:p>
        </w:tc>
        <w:tc>
          <w:tcPr>
            <w:tcW w:w="6233" w:type="dxa"/>
            <w:shd w:val="clear" w:color="auto" w:fill="auto"/>
          </w:tcPr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Стоимость оборудования, мебели и инвентаря определять по СССЦ/ФГИС. Стоимость оборудования, мебели и инвентаря, отсутствующих в СССЦ/ФГИС, включается на основании коммерческ</w:t>
            </w:r>
            <w:r w:rsidR="006D6805">
              <w:rPr>
                <w:rFonts w:ascii="Times New Roman" w:eastAsia="Calibri" w:hAnsi="Times New Roman" w:cs="Times New Roman"/>
                <w:sz w:val="20"/>
                <w:szCs w:val="20"/>
              </w:rPr>
              <w:t>ого предложения (прайс-листа</w:t>
            </w: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 </w:t>
            </w:r>
            <w:r w:rsidR="006D6805">
              <w:rPr>
                <w:rFonts w:ascii="Times New Roman" w:eastAsia="Calibri" w:hAnsi="Times New Roman" w:cs="Times New Roman"/>
                <w:sz w:val="20"/>
                <w:szCs w:val="20"/>
              </w:rPr>
              <w:t>поставщика</w:t>
            </w: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В </w:t>
            </w:r>
            <w:r w:rsidR="006D6805">
              <w:rPr>
                <w:rFonts w:ascii="Times New Roman" w:eastAsia="Calibri" w:hAnsi="Times New Roman" w:cs="Times New Roman"/>
                <w:sz w:val="20"/>
                <w:szCs w:val="20"/>
              </w:rPr>
              <w:t>коммерческом предложении</w:t>
            </w: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должны быть отражены наименование поставщика, дата предложения или </w:t>
            </w:r>
            <w:proofErr w:type="spellStart"/>
            <w:proofErr w:type="gramStart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гипер</w:t>
            </w:r>
            <w:proofErr w:type="spellEnd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-ссылка</w:t>
            </w:r>
            <w:proofErr w:type="gramEnd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, при условии получения информации из открытых источников сети-Интернет.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В каждой строке локальной сметы, где стоимость оборудования определенна по коммерческим предложениям, прайс-листам необходима расшифровка ценообразования.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При составлении локальных смет на монтаж оборудования стоимость оборудования выделяется в отдельный раздел, а в позициях по монтажу указывается наименование устанавливаемого по данной расценке оборудования.</w:t>
            </w:r>
          </w:p>
          <w:p w:rsidR="00C74857" w:rsidRPr="006A7DA3" w:rsidRDefault="00C74857" w:rsidP="00A2621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74857" w:rsidRPr="006A7DA3" w:rsidTr="00A26216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316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Размеры накладных расходов</w:t>
            </w:r>
          </w:p>
        </w:tc>
        <w:tc>
          <w:tcPr>
            <w:tcW w:w="6233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В соответствии с действующими нормативными документами по определению величины накладных расходов.</w:t>
            </w:r>
          </w:p>
        </w:tc>
      </w:tr>
      <w:tr w:rsidR="00C74857" w:rsidRPr="006A7DA3" w:rsidTr="00A26216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16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Размер сметной прибыли</w:t>
            </w:r>
          </w:p>
        </w:tc>
        <w:tc>
          <w:tcPr>
            <w:tcW w:w="6233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соответствии с действующими нормативными документами по определению величины сметной прибыли. </w:t>
            </w:r>
          </w:p>
        </w:tc>
      </w:tr>
      <w:tr w:rsidR="00C74857" w:rsidRPr="006A7DA3" w:rsidTr="00A26216">
        <w:trPr>
          <w:trHeight w:val="510"/>
          <w:jc w:val="center"/>
        </w:trPr>
        <w:tc>
          <w:tcPr>
            <w:tcW w:w="59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16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соответствии с действующими нормативными документами по определению затрат на временные здания и вооружения. </w:t>
            </w:r>
          </w:p>
          <w:p w:rsidR="00C74857" w:rsidRPr="006A7DA3" w:rsidRDefault="00C74857" w:rsidP="00A2621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Наличие затрат устанавливается Заказчиком. Затраты, не учтенные </w:t>
            </w:r>
            <w:proofErr w:type="gramStart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нормативом</w:t>
            </w:r>
            <w:proofErr w:type="gramEnd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учитываются дополнительно локальными сметами, выполненными в соответствии с данными ПОС.</w:t>
            </w:r>
          </w:p>
        </w:tc>
      </w:tr>
      <w:tr w:rsidR="00C74857" w:rsidRPr="006A7DA3" w:rsidTr="00A26216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16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Затраты по гл. 1, 9, 10, 12 сводного сметного расчета</w:t>
            </w:r>
          </w:p>
        </w:tc>
        <w:tc>
          <w:tcPr>
            <w:tcW w:w="6233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Затраты предусматриваются в </w:t>
            </w:r>
            <w:proofErr w:type="gramStart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соответствии  с</w:t>
            </w:r>
            <w:proofErr w:type="gramEnd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действующими нормативными.</w:t>
            </w:r>
          </w:p>
        </w:tc>
      </w:tr>
      <w:tr w:rsidR="00C74857" w:rsidRPr="006A7DA3" w:rsidTr="00A26216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16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Резерв средств на непредвиденные расходы </w:t>
            </w:r>
          </w:p>
        </w:tc>
        <w:tc>
          <w:tcPr>
            <w:tcW w:w="6233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Наличие резерва и величина средств на непредвиденные расходы устанавливается Заказчиком. </w:t>
            </w:r>
          </w:p>
        </w:tc>
      </w:tr>
      <w:tr w:rsidR="00C74857" w:rsidRPr="006A7DA3" w:rsidTr="00A26216">
        <w:trPr>
          <w:trHeight w:val="381"/>
          <w:jc w:val="center"/>
        </w:trPr>
        <w:tc>
          <w:tcPr>
            <w:tcW w:w="59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16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ind w:left="2" w:right="8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Расчеты выполнять в соответствии с ППР, согласованным Заказчиком. Расстояние перевозки принимается на основании транспортных схем, разработанных/согласованных с Заказчиком. Предусматривать возврат стоимости материалов от разборки.</w:t>
            </w:r>
          </w:p>
        </w:tc>
      </w:tr>
      <w:tr w:rsidR="00C74857" w:rsidRPr="006A7DA3" w:rsidTr="00A26216">
        <w:trPr>
          <w:trHeight w:val="985"/>
          <w:jc w:val="center"/>
        </w:trPr>
        <w:tc>
          <w:tcPr>
            <w:tcW w:w="59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16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Дополнительные требования</w:t>
            </w:r>
          </w:p>
        </w:tc>
        <w:tc>
          <w:tcPr>
            <w:tcW w:w="6233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Итоги в разделах локальных смет должны быть отражены по разделам сметы с начислением накладных расходов и сметной прибыли. </w:t>
            </w:r>
          </w:p>
          <w:p w:rsidR="00C74857" w:rsidRPr="006A7DA3" w:rsidRDefault="00C74857" w:rsidP="00A26216">
            <w:pPr>
              <w:ind w:left="2" w:right="8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В пояснительной записке к сметной документации указываются все применяемые индексы и коэффициенты.</w:t>
            </w:r>
          </w:p>
        </w:tc>
      </w:tr>
    </w:tbl>
    <w:p w:rsidR="00393D98" w:rsidRDefault="00393D98"/>
    <w:sectPr w:rsidR="00393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857"/>
    <w:rsid w:val="00393D98"/>
    <w:rsid w:val="006D6805"/>
    <w:rsid w:val="00C74857"/>
    <w:rsid w:val="00D9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3264BA-E6B5-4076-8B66-ADCBD3D5B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8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1668</Words>
  <Characters>9512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Кошелева Мария Александровна</dc:creator>
  <cp:keywords/>
  <dc:description/>
  <cp:lastModifiedBy>Ганюков Денис Васильевич</cp:lastModifiedBy>
  <cp:revision>2</cp:revision>
  <dcterms:created xsi:type="dcterms:W3CDTF">2019-04-23T07:25:00Z</dcterms:created>
  <dcterms:modified xsi:type="dcterms:W3CDTF">2019-04-23T07:25:00Z</dcterms:modified>
</cp:coreProperties>
</file>