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F07" w:rsidRPr="00D341D7" w:rsidRDefault="00044F07" w:rsidP="00D341D7">
      <w:pPr>
        <w:spacing w:after="0"/>
        <w:jc w:val="center"/>
      </w:pPr>
      <w:r w:rsidRPr="00C53360">
        <w:rPr>
          <w:b/>
        </w:rPr>
        <w:t xml:space="preserve">Техническое задание </w:t>
      </w:r>
      <w:r w:rsidRPr="00C53360">
        <w:t xml:space="preserve"> </w:t>
      </w:r>
      <w:r w:rsidRPr="00C53360">
        <w:rPr>
          <w:b/>
        </w:rPr>
        <w:t xml:space="preserve">на </w:t>
      </w:r>
      <w:r>
        <w:rPr>
          <w:b/>
        </w:rPr>
        <w:t>выполнение работ</w:t>
      </w:r>
      <w:r w:rsidRPr="00C53360">
        <w:rPr>
          <w:b/>
        </w:rPr>
        <w:t xml:space="preserve"> </w:t>
      </w:r>
      <w:r>
        <w:rPr>
          <w:b/>
        </w:rPr>
        <w:t>(</w:t>
      </w:r>
      <w:r w:rsidRPr="00C53360">
        <w:rPr>
          <w:b/>
        </w:rPr>
        <w:t>оказание услуг</w:t>
      </w:r>
      <w:r>
        <w:rPr>
          <w:b/>
        </w:rPr>
        <w:t>)</w:t>
      </w:r>
    </w:p>
    <w:p w:rsidR="00044F07" w:rsidRPr="00C53360" w:rsidRDefault="00044F07" w:rsidP="00044F07">
      <w:pPr>
        <w:spacing w:after="0"/>
        <w:jc w:val="center"/>
        <w:rPr>
          <w:b/>
        </w:rPr>
      </w:pPr>
    </w:p>
    <w:p w:rsidR="008249CB" w:rsidRPr="009C6935" w:rsidRDefault="00FB3ED6" w:rsidP="008249CB">
      <w:pPr>
        <w:pStyle w:val="a5"/>
        <w:spacing w:before="0" w:after="0" w:line="240" w:lineRule="auto"/>
        <w:ind w:left="0"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>Предмет договора</w:t>
      </w:r>
      <w:r w:rsidR="00FA6D98" w:rsidRPr="009C6935">
        <w:rPr>
          <w:b/>
          <w:bCs/>
          <w:sz w:val="20"/>
        </w:rPr>
        <w:t>: «</w:t>
      </w:r>
      <w:bookmarkStart w:id="0" w:name="OLE_LINK2"/>
      <w:bookmarkStart w:id="1" w:name="OLE_LINK3"/>
      <w:bookmarkStart w:id="2" w:name="OLE_LINK4"/>
      <w:bookmarkStart w:id="3" w:name="OLE_LINK19"/>
      <w:r w:rsidR="00FA6D98" w:rsidRPr="009C6935">
        <w:rPr>
          <w:b/>
          <w:bCs/>
          <w:sz w:val="20"/>
        </w:rPr>
        <w:t xml:space="preserve">Выбор специализированной организации (Страховщика) для страхования </w:t>
      </w:r>
      <w:r w:rsidR="008249CB" w:rsidRPr="00CE403A">
        <w:rPr>
          <w:b/>
          <w:bCs/>
          <w:sz w:val="20"/>
          <w:u w:val="single"/>
        </w:rPr>
        <w:t>специальной техники</w:t>
      </w:r>
      <w:r w:rsidR="00C47963">
        <w:rPr>
          <w:b/>
          <w:bCs/>
          <w:sz w:val="20"/>
          <w:u w:val="single"/>
        </w:rPr>
        <w:t xml:space="preserve"> </w:t>
      </w:r>
      <w:r w:rsidR="00C47963" w:rsidRPr="00C47963">
        <w:rPr>
          <w:b/>
          <w:bCs/>
          <w:sz w:val="20"/>
          <w:u w:val="single"/>
        </w:rPr>
        <w:t>(</w:t>
      </w:r>
      <w:r w:rsidR="0045703F" w:rsidRPr="00C47963">
        <w:rPr>
          <w:b/>
          <w:bCs/>
          <w:sz w:val="20"/>
          <w:u w:val="single"/>
        </w:rPr>
        <w:t>передвижного оборудования</w:t>
      </w:r>
      <w:r w:rsidR="00C47963" w:rsidRPr="00C47963">
        <w:rPr>
          <w:b/>
          <w:bCs/>
          <w:sz w:val="20"/>
          <w:u w:val="single"/>
        </w:rPr>
        <w:t>)</w:t>
      </w:r>
    </w:p>
    <w:p w:rsidR="004D0021" w:rsidRPr="009C6935" w:rsidRDefault="008249CB" w:rsidP="004D0021">
      <w:pPr>
        <w:pStyle w:val="a5"/>
        <w:spacing w:before="0" w:after="0" w:line="240" w:lineRule="auto"/>
        <w:ind w:left="0"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  <w:r w:rsidR="00FA6D98" w:rsidRPr="009C6935">
        <w:rPr>
          <w:b/>
          <w:bCs/>
          <w:sz w:val="20"/>
        </w:rPr>
        <w:t>НАО «Красная поляна»</w:t>
      </w:r>
      <w:bookmarkEnd w:id="0"/>
      <w:bookmarkEnd w:id="1"/>
      <w:bookmarkEnd w:id="2"/>
      <w:bookmarkEnd w:id="3"/>
      <w:r>
        <w:rPr>
          <w:b/>
          <w:bCs/>
          <w:sz w:val="20"/>
        </w:rPr>
        <w:t>.</w:t>
      </w:r>
    </w:p>
    <w:p w:rsidR="004D0021" w:rsidRDefault="004D0021" w:rsidP="004D0021">
      <w:pPr>
        <w:pStyle w:val="a5"/>
        <w:spacing w:before="0" w:after="0"/>
        <w:ind w:firstLine="0"/>
        <w:rPr>
          <w:b/>
          <w:bCs/>
          <w:sz w:val="20"/>
        </w:rPr>
      </w:pPr>
      <w:r w:rsidRPr="009C6935">
        <w:rPr>
          <w:b/>
          <w:bCs/>
          <w:sz w:val="20"/>
        </w:rPr>
        <w:t xml:space="preserve">Общие  </w:t>
      </w:r>
      <w:r w:rsidR="00A01F6E" w:rsidRPr="009C6935">
        <w:rPr>
          <w:b/>
          <w:bCs/>
          <w:sz w:val="20"/>
        </w:rPr>
        <w:t>условия  страхования  имущества:</w:t>
      </w:r>
    </w:p>
    <w:p w:rsidR="00044F07" w:rsidRPr="009C6935" w:rsidRDefault="00044F07" w:rsidP="004D0021">
      <w:pPr>
        <w:pStyle w:val="a5"/>
        <w:spacing w:before="0" w:after="0"/>
        <w:ind w:firstLine="0"/>
        <w:rPr>
          <w:b/>
          <w:bCs/>
          <w:sz w:val="20"/>
        </w:rPr>
      </w:pPr>
    </w:p>
    <w:p w:rsidR="004D0021" w:rsidRPr="009C6935" w:rsidRDefault="008249CB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bookmarkStart w:id="4" w:name="OLE_LINK24"/>
      <w:r>
        <w:rPr>
          <w:bCs/>
          <w:sz w:val="20"/>
        </w:rPr>
        <w:t xml:space="preserve">Перечень </w:t>
      </w:r>
      <w:r w:rsidR="004D0021" w:rsidRPr="009C6935">
        <w:rPr>
          <w:bCs/>
          <w:sz w:val="20"/>
        </w:rPr>
        <w:t>недвижимого и движимого имущества</w:t>
      </w:r>
      <w:bookmarkEnd w:id="4"/>
      <w:r w:rsidR="004D0021" w:rsidRPr="009C6935">
        <w:rPr>
          <w:bCs/>
          <w:sz w:val="20"/>
        </w:rPr>
        <w:t xml:space="preserve">  и его стоимость для стр</w:t>
      </w:r>
      <w:r>
        <w:rPr>
          <w:bCs/>
          <w:sz w:val="20"/>
        </w:rPr>
        <w:t>ахования указаны в Приложении №3</w:t>
      </w:r>
      <w:r w:rsidR="004D0021" w:rsidRPr="009C6935">
        <w:rPr>
          <w:bCs/>
          <w:sz w:val="20"/>
        </w:rPr>
        <w:t xml:space="preserve"> к Техническому заданию;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Срок действия договоров страхования  по Лотам  – 1</w:t>
      </w:r>
      <w:r w:rsidR="00FB3ED6">
        <w:rPr>
          <w:bCs/>
          <w:sz w:val="20"/>
        </w:rPr>
        <w:t>2</w:t>
      </w:r>
      <w:r w:rsidRPr="009C6935">
        <w:rPr>
          <w:bCs/>
          <w:sz w:val="20"/>
        </w:rPr>
        <w:t xml:space="preserve"> </w:t>
      </w:r>
      <w:r w:rsidR="00FB3ED6">
        <w:rPr>
          <w:bCs/>
          <w:sz w:val="20"/>
        </w:rPr>
        <w:t>месяцев</w:t>
      </w:r>
      <w:r w:rsidRPr="009C6935">
        <w:rPr>
          <w:bCs/>
          <w:sz w:val="20"/>
        </w:rPr>
        <w:t>;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Оплата страховой премии – поквартально равными пл</w:t>
      </w:r>
      <w:r w:rsidR="008249CB">
        <w:rPr>
          <w:bCs/>
          <w:sz w:val="20"/>
        </w:rPr>
        <w:t>атежами (4 платежа) не позднее 2</w:t>
      </w:r>
      <w:r w:rsidRPr="009C6935">
        <w:rPr>
          <w:bCs/>
          <w:sz w:val="20"/>
        </w:rPr>
        <w:t>0 числа первого месяца  соответствующего квартала;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Условие о досрочном расторжении договора страхования - с предупреждением  Стороны  за 30 дней до даты прекращения срока действия договора; При досрочном расторжении Страховщик осуществляет возврат страховой премии пропорционально использованному периоду.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Отношения Сторон по Договору регулируются действующим законодательством Российской Федерации.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Страхователь по запросу Страховщика предоставит возможность осмотра имущества.</w:t>
      </w:r>
    </w:p>
    <w:p w:rsidR="008539E3" w:rsidRPr="009C6935" w:rsidRDefault="008539E3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 xml:space="preserve">Территория страхования: </w:t>
      </w:r>
      <w:bookmarkStart w:id="5" w:name="OLE_LINK5"/>
      <w:bookmarkStart w:id="6" w:name="OLE_LINK6"/>
      <w:r w:rsidRPr="009C6935">
        <w:rPr>
          <w:bCs/>
          <w:sz w:val="20"/>
        </w:rPr>
        <w:t>г. Сочи. пос. Красная поляна</w:t>
      </w:r>
      <w:r w:rsidRPr="009C6935">
        <w:rPr>
          <w:bCs/>
          <w:sz w:val="20"/>
          <w:lang w:val="en-US"/>
        </w:rPr>
        <w:t>. Эсто-Садок</w:t>
      </w:r>
      <w:bookmarkEnd w:id="5"/>
      <w:bookmarkEnd w:id="6"/>
    </w:p>
    <w:p w:rsidR="006F1968" w:rsidRPr="00BE5E65" w:rsidRDefault="00E25DCC" w:rsidP="006F1968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BE5E65">
        <w:rPr>
          <w:bCs/>
          <w:sz w:val="20"/>
        </w:rPr>
        <w:t>Валюта страхования</w:t>
      </w:r>
      <w:r w:rsidR="004873F2" w:rsidRPr="00BE5E65">
        <w:rPr>
          <w:bCs/>
          <w:sz w:val="20"/>
        </w:rPr>
        <w:t>:</w:t>
      </w:r>
      <w:r w:rsidR="000F5876" w:rsidRPr="00BE5E65">
        <w:rPr>
          <w:bCs/>
          <w:sz w:val="20"/>
        </w:rPr>
        <w:t xml:space="preserve"> </w:t>
      </w:r>
      <w:bookmarkStart w:id="7" w:name="OLE_LINK1"/>
      <w:r w:rsidRPr="00BE5E65">
        <w:rPr>
          <w:bCs/>
          <w:sz w:val="20"/>
        </w:rPr>
        <w:t>Все страховые суммы, франшизы и суммы премии выражаются в рублях.</w:t>
      </w:r>
      <w:bookmarkEnd w:id="7"/>
      <w:r w:rsidR="000F5876" w:rsidRPr="00BE5E65">
        <w:rPr>
          <w:bCs/>
          <w:sz w:val="20"/>
        </w:rPr>
        <w:t xml:space="preserve"> </w:t>
      </w:r>
    </w:p>
    <w:p w:rsidR="004D0021" w:rsidRDefault="004D0021" w:rsidP="004D0021">
      <w:pPr>
        <w:pStyle w:val="a5"/>
        <w:spacing w:before="0" w:after="0" w:line="240" w:lineRule="auto"/>
        <w:ind w:left="0" w:firstLine="0"/>
        <w:rPr>
          <w:b/>
          <w:bCs/>
          <w:sz w:val="20"/>
        </w:rPr>
      </w:pPr>
      <w:r w:rsidRPr="009C6935">
        <w:rPr>
          <w:b/>
          <w:bCs/>
          <w:sz w:val="20"/>
        </w:rPr>
        <w:t xml:space="preserve">В </w:t>
      </w:r>
      <w:r w:rsidR="00914544" w:rsidRPr="009C6935">
        <w:rPr>
          <w:b/>
          <w:bCs/>
          <w:sz w:val="20"/>
        </w:rPr>
        <w:t xml:space="preserve">разделе 2 </w:t>
      </w:r>
      <w:r w:rsidRPr="009C6935">
        <w:rPr>
          <w:b/>
          <w:bCs/>
          <w:sz w:val="20"/>
        </w:rPr>
        <w:t>Страховщик должен  предложить  все ограничения  и исключения  из страхового покрытия, а также  предложить  дополнительные риски для страхования и  условия по оптимизации страхования и выплаты страховых премий.</w:t>
      </w:r>
    </w:p>
    <w:p w:rsidR="00FD2C31" w:rsidRPr="009C6935" w:rsidRDefault="00FD2C31" w:rsidP="004D0021">
      <w:pPr>
        <w:pStyle w:val="a5"/>
        <w:spacing w:before="0" w:after="0" w:line="240" w:lineRule="auto"/>
        <w:ind w:left="0" w:firstLine="0"/>
        <w:rPr>
          <w:b/>
          <w:bCs/>
          <w:sz w:val="20"/>
        </w:rPr>
      </w:pPr>
    </w:p>
    <w:p w:rsidR="00FA6D98" w:rsidRPr="00BE5E65" w:rsidRDefault="00B251EB" w:rsidP="00FA6D98">
      <w:pPr>
        <w:pStyle w:val="a5"/>
        <w:spacing w:before="0" w:after="0" w:line="240" w:lineRule="auto"/>
        <w:ind w:left="0" w:firstLine="0"/>
        <w:rPr>
          <w:b/>
          <w:bCs/>
          <w:sz w:val="20"/>
        </w:rPr>
      </w:pPr>
      <w:r w:rsidRPr="00BE5E65">
        <w:rPr>
          <w:b/>
          <w:bCs/>
          <w:sz w:val="20"/>
        </w:rPr>
        <w:t>ПРИЛОЖЕНИ</w:t>
      </w:r>
      <w:r w:rsidR="00FB3ED6">
        <w:rPr>
          <w:b/>
          <w:bCs/>
          <w:sz w:val="20"/>
        </w:rPr>
        <w:t>Е</w:t>
      </w:r>
      <w:r w:rsidRPr="00BE5E65">
        <w:rPr>
          <w:b/>
          <w:bCs/>
          <w:sz w:val="20"/>
        </w:rPr>
        <w:t xml:space="preserve"> к Техническому заданию:</w:t>
      </w:r>
    </w:p>
    <w:p w:rsidR="00B251EB" w:rsidRPr="00BE5E65" w:rsidRDefault="008249CB" w:rsidP="00FA6D98">
      <w:pPr>
        <w:pStyle w:val="a5"/>
        <w:spacing w:before="0" w:after="0" w:line="240" w:lineRule="auto"/>
        <w:ind w:left="0" w:firstLine="0"/>
        <w:rPr>
          <w:b/>
          <w:bCs/>
          <w:sz w:val="20"/>
        </w:rPr>
      </w:pPr>
      <w:r>
        <w:rPr>
          <w:b/>
          <w:bCs/>
          <w:sz w:val="20"/>
        </w:rPr>
        <w:t>Приложение №3</w:t>
      </w:r>
      <w:r w:rsidR="00B251EB" w:rsidRPr="00BE5E65">
        <w:rPr>
          <w:b/>
          <w:bCs/>
          <w:sz w:val="20"/>
        </w:rPr>
        <w:t xml:space="preserve"> – Перечень объектов страхования и их страховая стоимость</w:t>
      </w:r>
    </w:p>
    <w:p w:rsidR="00B251EB" w:rsidRDefault="00B251EB" w:rsidP="00FA6D98">
      <w:pPr>
        <w:pStyle w:val="a5"/>
        <w:spacing w:before="0" w:after="0" w:line="240" w:lineRule="auto"/>
        <w:ind w:left="0" w:firstLine="0"/>
        <w:rPr>
          <w:b/>
          <w:bCs/>
          <w:sz w:val="20"/>
          <w:highlight w:val="yellow"/>
        </w:rPr>
      </w:pPr>
    </w:p>
    <w:p w:rsidR="00DF09A7" w:rsidRPr="00CE403A" w:rsidRDefault="00DF09A7" w:rsidP="00FA6D98">
      <w:pPr>
        <w:pStyle w:val="a5"/>
        <w:spacing w:before="0" w:after="0" w:line="240" w:lineRule="auto"/>
        <w:ind w:left="0" w:firstLine="0"/>
        <w:rPr>
          <w:sz w:val="20"/>
        </w:rPr>
      </w:pPr>
    </w:p>
    <w:p w:rsidR="00474F89" w:rsidRPr="00D113D4" w:rsidRDefault="00474F89" w:rsidP="00474F89">
      <w:pPr>
        <w:pStyle w:val="a5"/>
        <w:spacing w:before="0" w:after="0" w:line="240" w:lineRule="auto"/>
        <w:ind w:left="0" w:firstLine="0"/>
        <w:jc w:val="center"/>
        <w:rPr>
          <w:b/>
          <w:bCs/>
          <w:color w:val="943634" w:themeColor="accent2" w:themeShade="BF"/>
          <w:u w:val="single"/>
        </w:rPr>
      </w:pPr>
      <w:bookmarkStart w:id="8" w:name="OLE_LINK55"/>
      <w:bookmarkStart w:id="9" w:name="OLE_LINK56"/>
      <w:bookmarkStart w:id="10" w:name="OLE_LINK57"/>
      <w:r w:rsidRPr="00D113D4">
        <w:rPr>
          <w:b/>
          <w:bCs/>
          <w:color w:val="943634" w:themeColor="accent2" w:themeShade="BF"/>
          <w:u w:val="single"/>
        </w:rPr>
        <w:t>Страхование специальной техники</w:t>
      </w:r>
      <w:bookmarkEnd w:id="8"/>
      <w:bookmarkEnd w:id="9"/>
      <w:bookmarkEnd w:id="10"/>
      <w:r w:rsidR="0045703F">
        <w:rPr>
          <w:b/>
          <w:bCs/>
          <w:color w:val="943634" w:themeColor="accent2" w:themeShade="BF"/>
          <w:u w:val="single"/>
        </w:rPr>
        <w:t xml:space="preserve"> </w:t>
      </w:r>
      <w:r w:rsidR="0045703F" w:rsidRPr="0045703F">
        <w:rPr>
          <w:b/>
          <w:bCs/>
          <w:color w:val="943634" w:themeColor="accent2" w:themeShade="BF"/>
          <w:u w:val="single"/>
        </w:rPr>
        <w:t>(передвижного оборудования)</w:t>
      </w:r>
    </w:p>
    <w:p w:rsidR="00474F89" w:rsidRDefault="00474F89" w:rsidP="00474F89">
      <w:pPr>
        <w:pStyle w:val="a5"/>
        <w:spacing w:before="0" w:after="0" w:line="240" w:lineRule="auto"/>
        <w:ind w:left="0" w:firstLine="0"/>
        <w:rPr>
          <w:sz w:val="20"/>
        </w:rPr>
      </w:pPr>
    </w:p>
    <w:p w:rsidR="00474F89" w:rsidRPr="00D113D4" w:rsidRDefault="00474F89" w:rsidP="00474F89">
      <w:pPr>
        <w:pStyle w:val="a5"/>
        <w:spacing w:before="0" w:after="0" w:line="240" w:lineRule="auto"/>
        <w:ind w:left="0" w:firstLine="0"/>
        <w:rPr>
          <w:sz w:val="20"/>
        </w:rPr>
      </w:pPr>
      <w:r w:rsidRPr="00D113D4">
        <w:rPr>
          <w:sz w:val="20"/>
        </w:rPr>
        <w:t>Условия страхования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10254"/>
      </w:tblGrid>
      <w:tr w:rsidR="00474F89" w:rsidRPr="00D113D4" w:rsidTr="00D341D7">
        <w:tc>
          <w:tcPr>
            <w:tcW w:w="4928" w:type="dxa"/>
          </w:tcPr>
          <w:p w:rsidR="00474F89" w:rsidRPr="00D113D4" w:rsidRDefault="00474F89" w:rsidP="00F24A84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r w:rsidRPr="00D113D4">
              <w:rPr>
                <w:sz w:val="20"/>
                <w:lang w:val="en-US"/>
              </w:rPr>
              <w:t>Объект страхования, стоимость страхования</w:t>
            </w:r>
          </w:p>
        </w:tc>
        <w:tc>
          <w:tcPr>
            <w:tcW w:w="10254" w:type="dxa"/>
          </w:tcPr>
          <w:p w:rsidR="00474F89" w:rsidRPr="00D341D7" w:rsidRDefault="008249CB" w:rsidP="00D341D7">
            <w:pPr>
              <w:spacing w:before="0" w:after="0"/>
              <w:ind w:firstLine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sz w:val="20"/>
                <w:szCs w:val="20"/>
              </w:rPr>
              <w:t>114 322 069,81</w:t>
            </w:r>
            <w:r w:rsidR="00D341D7">
              <w:rPr>
                <w:rFonts w:ascii="Calibri" w:hAnsi="Calibri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474F89" w:rsidRPr="009C6935" w:rsidTr="00D341D7">
        <w:tc>
          <w:tcPr>
            <w:tcW w:w="4928" w:type="dxa"/>
          </w:tcPr>
          <w:p w:rsidR="00474F89" w:rsidRPr="00474F89" w:rsidRDefault="00474F89" w:rsidP="00F24A84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r w:rsidRPr="00474F89">
              <w:rPr>
                <w:sz w:val="20"/>
                <w:lang w:val="en-US"/>
              </w:rPr>
              <w:t>Страховое покрытие</w:t>
            </w:r>
          </w:p>
        </w:tc>
        <w:tc>
          <w:tcPr>
            <w:tcW w:w="10254" w:type="dxa"/>
          </w:tcPr>
          <w:p w:rsidR="00474F89" w:rsidRPr="00474F89" w:rsidRDefault="00474F89" w:rsidP="00474F89">
            <w:pPr>
              <w:pStyle w:val="10"/>
              <w:jc w:val="both"/>
              <w:rPr>
                <w:color w:val="000000"/>
                <w:lang w:eastAsia="smn-FI"/>
              </w:rPr>
            </w:pPr>
            <w:r w:rsidRPr="00474F89">
              <w:rPr>
                <w:color w:val="000000"/>
                <w:u w:val="single"/>
                <w:lang w:eastAsia="smn-FI"/>
              </w:rPr>
              <w:t>На период эксплуатации</w:t>
            </w:r>
            <w:r w:rsidRPr="00474F89">
              <w:rPr>
                <w:color w:val="000000"/>
                <w:lang w:eastAsia="smn-FI"/>
              </w:rPr>
              <w:t>: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</w:t>
            </w:r>
            <w:r w:rsidRPr="00C47963">
              <w:rPr>
                <w:sz w:val="20"/>
                <w:szCs w:val="20"/>
              </w:rPr>
              <w:t>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Взрыв;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Опасное природное явление (стихийное бедствие);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Авария: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опрокидывание;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падение, сползание, соскальзывание застрахованного имущества;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 xml:space="preserve">наезд транспортных средств, самодвижущихся машин или погрузочной техники, столкновение с различными предметами (препятствиями), либо иным веществом; 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навал судов, буксируемых самодвижущихся водных или самодвижущихся плавающих инженерных сооружений;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провал, обрушения или разрушения мостов, путепроводов;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завал грунтом или иным веществом (предметами).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lastRenderedPageBreak/>
              <w:t>Хищение или угон;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Противоправные действия третьих лиц;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Падение деревьев, летательных аппаратов и их частей, столбов, предметов конструкции зданий, сооружений и/или других предметов;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Воздействие животных;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Просадка или иное движение грунта;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Повреждение при проведении монтажа или демонтажа;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Повреждения в период транспортировки по дорогам общего пользования на всей территории России;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Террористический акт. «Террористический акт» означает взрыв, поджог или иные действия третьих лиц, устрашающие население и создающие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 (квалифицируемое по ст.205 УК РФ);</w:t>
            </w:r>
          </w:p>
          <w:p w:rsidR="00474F89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Поджог. Под «поджогом» понимается умышленное приведение имущества в состояние, непригодное для дальнейшего использования и/или снижающее его потребительские характеристики с применением огня в условиях, исключающих его самостоятельное возникновение (возгорание) (при квалификации действий виновного лица/лиц по ст.167 УК РФ).</w:t>
            </w:r>
          </w:p>
          <w:p w:rsidR="00474F89" w:rsidRPr="00474F89" w:rsidRDefault="00474F89" w:rsidP="00474F89">
            <w:pPr>
              <w:pStyle w:val="10"/>
              <w:jc w:val="both"/>
              <w:rPr>
                <w:color w:val="000000"/>
                <w:lang w:eastAsia="smn-FI"/>
              </w:rPr>
            </w:pPr>
            <w:r w:rsidRPr="00474F89">
              <w:rPr>
                <w:color w:val="000000"/>
                <w:u w:val="single"/>
                <w:lang w:eastAsia="smn-FI"/>
              </w:rPr>
              <w:t>На период стационарного расположения неэксплуатируемого имущества на территории страхования</w:t>
            </w:r>
            <w:r w:rsidRPr="00474F89">
              <w:rPr>
                <w:color w:val="000000"/>
                <w:lang w:eastAsia="smn-FI"/>
              </w:rPr>
              <w:t>: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</w:t>
            </w:r>
            <w:r w:rsidRPr="00C47963">
              <w:rPr>
                <w:sz w:val="20"/>
                <w:szCs w:val="20"/>
              </w:rPr>
              <w:t>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Взрыв;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Опасное природное явление (стихийное бедствие);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Авария: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опрокидывание;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падение, сползание, соскальзывание застрахованного имущества;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 xml:space="preserve">наезд транспортных средств, самодвижущихся машин или погрузочной техники, столкновение с различными предметами (препятствиями), либо иным веществом; 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навал судов, буксируемых самодвижущихся водных или самодвижущихся плавающих инженерных сооружений;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провал, обрушения или разрушения мостов, путепроводов;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завал грунтом или иным веществом (предметами).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Хищение или угон;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Противоправные действия третьих лиц;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Падение деревьев, летательных аппаратов и их частей, столбов, предметов конструкции зданий, сооружений и/или других предметов;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Воздействие животных;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Просадка или иное движение грунта;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Повреждение при проведении монтажа или демонтажа;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Повреждения в период транспортировки по дорогам общего пользования на всей территории России;</w:t>
            </w:r>
          </w:p>
          <w:p w:rsidR="00C47963" w:rsidRPr="00C47963" w:rsidRDefault="00C47963" w:rsidP="00C47963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>Террористический акт. «Террористический акт» означает взрыв, поджог или иные действия третьих лиц, устрашающие население и создающие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 (квалифицируемое по ст.205 УК РФ);</w:t>
            </w:r>
          </w:p>
          <w:p w:rsidR="00474F89" w:rsidRPr="00C47963" w:rsidRDefault="00C47963" w:rsidP="00474F89">
            <w:pPr>
              <w:numPr>
                <w:ilvl w:val="0"/>
                <w:numId w:val="22"/>
              </w:numPr>
              <w:tabs>
                <w:tab w:val="num" w:pos="0"/>
              </w:tabs>
              <w:spacing w:before="0" w:after="0"/>
              <w:ind w:left="0" w:firstLine="0"/>
              <w:rPr>
                <w:sz w:val="20"/>
                <w:szCs w:val="20"/>
              </w:rPr>
            </w:pPr>
            <w:r w:rsidRPr="00C47963">
              <w:rPr>
                <w:sz w:val="20"/>
                <w:szCs w:val="20"/>
              </w:rPr>
              <w:t xml:space="preserve">Поджог. Под «поджогом» понимается умышленное приведение имущества в состояние, непригодное для дальнейшего использования и/или снижающее его потребительские характеристики с применением огня в условиях, </w:t>
            </w:r>
            <w:r w:rsidRPr="00C47963">
              <w:rPr>
                <w:sz w:val="20"/>
                <w:szCs w:val="20"/>
              </w:rPr>
              <w:lastRenderedPageBreak/>
              <w:t>исключающих его самостоятельное возникновение (возгорание) (при квалификации действий виновного лица/лиц по ст.167 УК РФ).</w:t>
            </w:r>
          </w:p>
        </w:tc>
      </w:tr>
      <w:tr w:rsidR="00474F89" w:rsidRPr="009C6935" w:rsidTr="00D341D7">
        <w:tc>
          <w:tcPr>
            <w:tcW w:w="4928" w:type="dxa"/>
          </w:tcPr>
          <w:p w:rsidR="00474F89" w:rsidRPr="00474F89" w:rsidRDefault="00474F89" w:rsidP="00F24A84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r w:rsidRPr="00474F89">
              <w:rPr>
                <w:sz w:val="20"/>
                <w:lang w:val="en-US"/>
              </w:rPr>
              <w:lastRenderedPageBreak/>
              <w:t>Франшиза</w:t>
            </w:r>
          </w:p>
        </w:tc>
        <w:tc>
          <w:tcPr>
            <w:tcW w:w="10254" w:type="dxa"/>
          </w:tcPr>
          <w:p w:rsidR="00474F89" w:rsidRPr="00474F89" w:rsidRDefault="00474F89" w:rsidP="00F24A84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 w:rsidRPr="00474F89">
              <w:rPr>
                <w:rFonts w:cs="Arial"/>
                <w:sz w:val="20"/>
              </w:rPr>
              <w:t>30 000 российских рублей.</w:t>
            </w:r>
          </w:p>
        </w:tc>
      </w:tr>
      <w:tr w:rsidR="00474F89" w:rsidRPr="009C6935" w:rsidTr="00D341D7">
        <w:tc>
          <w:tcPr>
            <w:tcW w:w="4928" w:type="dxa"/>
          </w:tcPr>
          <w:p w:rsidR="00474F89" w:rsidRPr="00474F89" w:rsidRDefault="00474F89" w:rsidP="00474F89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r w:rsidRPr="00474F89">
              <w:rPr>
                <w:sz w:val="20"/>
                <w:lang w:val="en-US"/>
              </w:rPr>
              <w:t>Форма возмещения</w:t>
            </w:r>
          </w:p>
        </w:tc>
        <w:tc>
          <w:tcPr>
            <w:tcW w:w="10254" w:type="dxa"/>
          </w:tcPr>
          <w:p w:rsidR="00474F89" w:rsidRPr="00474F89" w:rsidRDefault="00474F89" w:rsidP="00474F89">
            <w:pPr>
              <w:pStyle w:val="a5"/>
              <w:spacing w:before="0" w:after="0" w:line="240" w:lineRule="auto"/>
              <w:ind w:left="0" w:firstLine="0"/>
              <w:rPr>
                <w:rFonts w:cs="Arial"/>
                <w:sz w:val="20"/>
              </w:rPr>
            </w:pPr>
            <w:r>
              <w:rPr>
                <w:sz w:val="20"/>
                <w:lang w:eastAsia="en-US"/>
              </w:rPr>
              <w:t>А</w:t>
            </w:r>
            <w:r w:rsidRPr="00474F89">
              <w:rPr>
                <w:sz w:val="20"/>
                <w:lang w:eastAsia="en-US"/>
              </w:rPr>
              <w:t>грегатная</w:t>
            </w:r>
          </w:p>
        </w:tc>
      </w:tr>
    </w:tbl>
    <w:p w:rsidR="00474F89" w:rsidRPr="009C6935" w:rsidRDefault="00474F89" w:rsidP="00FA6D98">
      <w:pPr>
        <w:pStyle w:val="a5"/>
        <w:spacing w:before="0" w:after="0" w:line="240" w:lineRule="auto"/>
        <w:ind w:left="0" w:firstLine="0"/>
        <w:rPr>
          <w:sz w:val="20"/>
          <w:highlight w:val="yellow"/>
          <w:lang w:val="en-US"/>
        </w:rPr>
      </w:pPr>
    </w:p>
    <w:p w:rsidR="00FB3ED6" w:rsidRDefault="00FB3ED6" w:rsidP="00FB3ED6">
      <w:pPr>
        <w:pStyle w:val="a5"/>
        <w:spacing w:before="0" w:after="0" w:line="240" w:lineRule="auto"/>
        <w:ind w:left="0" w:firstLine="0"/>
        <w:rPr>
          <w:b/>
          <w:sz w:val="22"/>
          <w:szCs w:val="22"/>
        </w:rPr>
      </w:pPr>
      <w:r w:rsidRPr="00BE5E65">
        <w:rPr>
          <w:b/>
          <w:bCs/>
          <w:sz w:val="20"/>
        </w:rPr>
        <w:t>РАЗДЕЛ №2:</w:t>
      </w:r>
      <w:r w:rsidRPr="00BE5E65">
        <w:t xml:space="preserve"> </w:t>
      </w:r>
      <w:r w:rsidRPr="00A54DCA">
        <w:rPr>
          <w:b/>
          <w:color w:val="000000"/>
          <w:sz w:val="22"/>
          <w:szCs w:val="22"/>
        </w:rPr>
        <w:t xml:space="preserve">ФОРМА ДЛЯ ЗАПОЛНЕНИЯ УЧАСТНИКОМ </w:t>
      </w:r>
    </w:p>
    <w:p w:rsidR="00FB3ED6" w:rsidRDefault="00FB3ED6" w:rsidP="00FB3ED6">
      <w:pPr>
        <w:pStyle w:val="a5"/>
        <w:spacing w:before="0" w:after="0" w:line="240" w:lineRule="auto"/>
        <w:ind w:left="0" w:firstLine="0"/>
        <w:rPr>
          <w:color w:val="000000"/>
          <w:sz w:val="20"/>
        </w:rPr>
      </w:pPr>
      <w:r w:rsidRPr="00BE5E65">
        <w:rPr>
          <w:color w:val="000000"/>
          <w:sz w:val="20"/>
        </w:rPr>
        <w:t xml:space="preserve">Участник </w:t>
      </w:r>
      <w:r w:rsidR="00D32EB8">
        <w:rPr>
          <w:color w:val="000000"/>
          <w:sz w:val="20"/>
        </w:rPr>
        <w:t>закупки</w:t>
      </w:r>
      <w:r w:rsidRPr="00BE5E65">
        <w:rPr>
          <w:color w:val="000000"/>
          <w:sz w:val="20"/>
        </w:rPr>
        <w:t>, рассмотрев условия страхования</w:t>
      </w:r>
      <w:r>
        <w:rPr>
          <w:color w:val="000000"/>
          <w:sz w:val="20"/>
        </w:rPr>
        <w:t>,</w:t>
      </w:r>
      <w:r w:rsidRPr="00BE5E65">
        <w:rPr>
          <w:color w:val="000000"/>
          <w:sz w:val="20"/>
        </w:rPr>
        <w:t xml:space="preserve"> предостав</w:t>
      </w:r>
      <w:r>
        <w:rPr>
          <w:color w:val="000000"/>
          <w:sz w:val="20"/>
        </w:rPr>
        <w:t>ляет</w:t>
      </w:r>
      <w:r w:rsidRPr="00BE5E6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Заказчику</w:t>
      </w:r>
      <w:r w:rsidRPr="00BE5E65">
        <w:rPr>
          <w:color w:val="000000"/>
          <w:sz w:val="20"/>
        </w:rPr>
        <w:t xml:space="preserve"> предложение, содержащее, в том числе  следующую информацию: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8"/>
        <w:gridCol w:w="3936"/>
        <w:gridCol w:w="3131"/>
        <w:gridCol w:w="2594"/>
        <w:gridCol w:w="2403"/>
      </w:tblGrid>
      <w:tr w:rsidR="00FA6D98" w:rsidRPr="00BE5E65" w:rsidTr="00FB3ED6">
        <w:tc>
          <w:tcPr>
            <w:tcW w:w="3118" w:type="dxa"/>
            <w:vAlign w:val="center"/>
          </w:tcPr>
          <w:p w:rsidR="00FA6D98" w:rsidRPr="00BE5E65" w:rsidRDefault="00FA6D98" w:rsidP="00FB3ED6">
            <w:pPr>
              <w:pStyle w:val="a5"/>
              <w:spacing w:before="0" w:after="0" w:line="240" w:lineRule="auto"/>
              <w:ind w:left="0" w:firstLine="0"/>
              <w:jc w:val="center"/>
              <w:rPr>
                <w:color w:val="000000"/>
                <w:sz w:val="20"/>
              </w:rPr>
            </w:pPr>
            <w:r w:rsidRPr="00BE5E65">
              <w:rPr>
                <w:color w:val="000000"/>
                <w:sz w:val="20"/>
              </w:rPr>
              <w:t>Наименование Страховщика</w:t>
            </w:r>
          </w:p>
        </w:tc>
        <w:tc>
          <w:tcPr>
            <w:tcW w:w="3936" w:type="dxa"/>
            <w:vAlign w:val="center"/>
          </w:tcPr>
          <w:p w:rsidR="00FA6D98" w:rsidRPr="00BE5E65" w:rsidRDefault="00FA6D98" w:rsidP="00FB3ED6">
            <w:pPr>
              <w:pStyle w:val="a5"/>
              <w:spacing w:before="0" w:after="0" w:line="240" w:lineRule="auto"/>
              <w:ind w:left="0" w:firstLine="0"/>
              <w:jc w:val="center"/>
              <w:rPr>
                <w:color w:val="000000"/>
                <w:sz w:val="20"/>
              </w:rPr>
            </w:pPr>
            <w:r w:rsidRPr="00BE5E65">
              <w:rPr>
                <w:color w:val="000000"/>
                <w:sz w:val="20"/>
              </w:rPr>
              <w:t xml:space="preserve">Ограничения, исключения </w:t>
            </w:r>
            <w:r w:rsidR="00213C57" w:rsidRPr="00BE5E65">
              <w:rPr>
                <w:color w:val="000000"/>
                <w:sz w:val="20"/>
              </w:rPr>
              <w:t xml:space="preserve">Страховщика </w:t>
            </w:r>
            <w:r w:rsidRPr="00BE5E65">
              <w:rPr>
                <w:color w:val="000000"/>
                <w:sz w:val="20"/>
              </w:rPr>
              <w:t xml:space="preserve">в отношении рисков и условий, </w:t>
            </w:r>
            <w:r w:rsidR="00345F1C" w:rsidRPr="00BE5E65">
              <w:rPr>
                <w:color w:val="000000"/>
                <w:sz w:val="20"/>
              </w:rPr>
              <w:t>в том числе</w:t>
            </w:r>
            <w:r w:rsidR="00213C57" w:rsidRPr="00BE5E65">
              <w:rPr>
                <w:color w:val="000000"/>
                <w:sz w:val="20"/>
              </w:rPr>
              <w:t xml:space="preserve"> указать лимиты</w:t>
            </w:r>
          </w:p>
        </w:tc>
        <w:tc>
          <w:tcPr>
            <w:tcW w:w="3131" w:type="dxa"/>
            <w:vAlign w:val="center"/>
          </w:tcPr>
          <w:p w:rsidR="00FA6D98" w:rsidRPr="00BE5E65" w:rsidRDefault="00FA6D98" w:rsidP="003B0FB4">
            <w:pPr>
              <w:pStyle w:val="a5"/>
              <w:spacing w:before="0" w:after="0" w:line="240" w:lineRule="auto"/>
              <w:ind w:left="0" w:firstLine="0"/>
              <w:jc w:val="center"/>
              <w:rPr>
                <w:bCs/>
                <w:sz w:val="20"/>
              </w:rPr>
            </w:pPr>
            <w:r w:rsidRPr="00BE5E65">
              <w:rPr>
                <w:sz w:val="20"/>
              </w:rPr>
              <w:t xml:space="preserve">Ставки страховой премии </w:t>
            </w:r>
          </w:p>
        </w:tc>
        <w:tc>
          <w:tcPr>
            <w:tcW w:w="2594" w:type="dxa"/>
            <w:vAlign w:val="center"/>
          </w:tcPr>
          <w:p w:rsidR="00FA6D98" w:rsidRPr="00BE5E65" w:rsidRDefault="00FA6D98" w:rsidP="003B0FB4">
            <w:pPr>
              <w:pStyle w:val="a5"/>
              <w:spacing w:before="0" w:after="0" w:line="240" w:lineRule="auto"/>
              <w:ind w:left="0" w:firstLine="0"/>
              <w:jc w:val="center"/>
              <w:rPr>
                <w:bCs/>
                <w:sz w:val="20"/>
              </w:rPr>
            </w:pPr>
            <w:r w:rsidRPr="00BE5E65">
              <w:rPr>
                <w:bCs/>
                <w:sz w:val="20"/>
              </w:rPr>
              <w:t>Сумма страховой премии за  1</w:t>
            </w:r>
            <w:r w:rsidR="00FB3ED6">
              <w:rPr>
                <w:bCs/>
                <w:sz w:val="20"/>
              </w:rPr>
              <w:t>2</w:t>
            </w:r>
            <w:r w:rsidRPr="00BE5E65">
              <w:rPr>
                <w:bCs/>
                <w:sz w:val="20"/>
              </w:rPr>
              <w:t xml:space="preserve"> </w:t>
            </w:r>
            <w:r w:rsidR="00FB3ED6">
              <w:rPr>
                <w:bCs/>
                <w:sz w:val="20"/>
              </w:rPr>
              <w:t>месяцев</w:t>
            </w:r>
            <w:r w:rsidRPr="00BE5E65">
              <w:rPr>
                <w:bCs/>
                <w:sz w:val="20"/>
              </w:rPr>
              <w:t xml:space="preserve">,  в том числе с разбивкой  по кварталам </w:t>
            </w:r>
            <w:bookmarkStart w:id="11" w:name="_GoBack"/>
            <w:bookmarkEnd w:id="11"/>
          </w:p>
        </w:tc>
        <w:tc>
          <w:tcPr>
            <w:tcW w:w="2403" w:type="dxa"/>
            <w:vAlign w:val="center"/>
          </w:tcPr>
          <w:p w:rsidR="00FA6D98" w:rsidRPr="00BE5E65" w:rsidRDefault="00FA6D98" w:rsidP="00FB3ED6">
            <w:pPr>
              <w:spacing w:before="0" w:after="0"/>
              <w:ind w:firstLine="0"/>
              <w:jc w:val="center"/>
              <w:rPr>
                <w:bCs/>
                <w:sz w:val="20"/>
                <w:szCs w:val="20"/>
              </w:rPr>
            </w:pPr>
            <w:r w:rsidRPr="00BE5E65">
              <w:rPr>
                <w:bCs/>
                <w:sz w:val="20"/>
                <w:szCs w:val="20"/>
              </w:rPr>
              <w:t>Особые условия, предлагаемые Страховщиком, в том числе условия по оптимизации страхования</w:t>
            </w:r>
          </w:p>
        </w:tc>
      </w:tr>
      <w:tr w:rsidR="00FA6D98" w:rsidRPr="00BE5E65" w:rsidTr="00213C57">
        <w:tc>
          <w:tcPr>
            <w:tcW w:w="3118" w:type="dxa"/>
          </w:tcPr>
          <w:p w:rsidR="00FA6D98" w:rsidRPr="00BE5E65" w:rsidRDefault="00FA6D98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3936" w:type="dxa"/>
          </w:tcPr>
          <w:p w:rsidR="00FA6D98" w:rsidRPr="00BE5E65" w:rsidRDefault="00FA6D98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3131" w:type="dxa"/>
          </w:tcPr>
          <w:p w:rsidR="00FA6D98" w:rsidRPr="00BE5E65" w:rsidRDefault="00FA6D98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2594" w:type="dxa"/>
          </w:tcPr>
          <w:p w:rsidR="00FA6D98" w:rsidRPr="00BE5E65" w:rsidRDefault="00FA6D98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2403" w:type="dxa"/>
          </w:tcPr>
          <w:p w:rsidR="00FA6D98" w:rsidRPr="00BE5E65" w:rsidRDefault="00FA6D98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</w:tr>
      <w:tr w:rsidR="00213C57" w:rsidRPr="00BE5E65" w:rsidTr="00213C57">
        <w:tc>
          <w:tcPr>
            <w:tcW w:w="3118" w:type="dxa"/>
          </w:tcPr>
          <w:p w:rsidR="00213C57" w:rsidRPr="00BE5E65" w:rsidRDefault="00213C57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3936" w:type="dxa"/>
          </w:tcPr>
          <w:p w:rsidR="00213C57" w:rsidRPr="00BE5E65" w:rsidRDefault="00213C57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3131" w:type="dxa"/>
          </w:tcPr>
          <w:p w:rsidR="00213C57" w:rsidRPr="00BE5E65" w:rsidRDefault="00213C57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2594" w:type="dxa"/>
          </w:tcPr>
          <w:p w:rsidR="00213C57" w:rsidRPr="00BE5E65" w:rsidRDefault="00213C57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  <w:tc>
          <w:tcPr>
            <w:tcW w:w="2403" w:type="dxa"/>
          </w:tcPr>
          <w:p w:rsidR="00213C57" w:rsidRPr="00BE5E65" w:rsidRDefault="00213C57" w:rsidP="00FA6D98">
            <w:pPr>
              <w:pStyle w:val="a5"/>
              <w:spacing w:before="0" w:after="0" w:line="240" w:lineRule="auto"/>
              <w:ind w:left="0" w:firstLine="0"/>
              <w:rPr>
                <w:color w:val="000000"/>
                <w:sz w:val="20"/>
              </w:rPr>
            </w:pPr>
          </w:p>
        </w:tc>
      </w:tr>
    </w:tbl>
    <w:p w:rsidR="00044F07" w:rsidRDefault="00044F07" w:rsidP="00044F07">
      <w:pPr>
        <w:pStyle w:val="a6"/>
        <w:spacing w:before="0" w:after="0"/>
        <w:ind w:left="757" w:firstLine="0"/>
        <w:rPr>
          <w:bCs/>
        </w:rPr>
      </w:pPr>
    </w:p>
    <w:p w:rsidR="008249CB" w:rsidRPr="0062097A" w:rsidRDefault="008249CB" w:rsidP="008249CB">
      <w:pPr>
        <w:tabs>
          <w:tab w:val="left" w:pos="6237"/>
        </w:tabs>
        <w:spacing w:after="0"/>
        <w:rPr>
          <w:b/>
        </w:rPr>
      </w:pPr>
      <w:r w:rsidRPr="0062097A">
        <w:rPr>
          <w:b/>
        </w:rPr>
        <w:t>Техническое задание разработал:</w:t>
      </w:r>
    </w:p>
    <w:tbl>
      <w:tblPr>
        <w:tblW w:w="17619" w:type="dxa"/>
        <w:tblLayout w:type="fixed"/>
        <w:tblLook w:val="04A0" w:firstRow="1" w:lastRow="0" w:firstColumn="1" w:lastColumn="0" w:noHBand="0" w:noVBand="1"/>
      </w:tblPr>
      <w:tblGrid>
        <w:gridCol w:w="10307"/>
        <w:gridCol w:w="5024"/>
        <w:gridCol w:w="301"/>
        <w:gridCol w:w="1987"/>
      </w:tblGrid>
      <w:tr w:rsidR="008249CB" w:rsidRPr="00122C33" w:rsidTr="009D5689">
        <w:trPr>
          <w:trHeight w:val="254"/>
        </w:trPr>
        <w:tc>
          <w:tcPr>
            <w:tcW w:w="8072" w:type="dxa"/>
            <w:shd w:val="clear" w:color="auto" w:fill="auto"/>
            <w:noWrap/>
            <w:hideMark/>
          </w:tcPr>
          <w:p w:rsidR="008249CB" w:rsidRDefault="008249CB" w:rsidP="008249C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Главный специалист по работе с кредитными организациями </w:t>
            </w:r>
          </w:p>
          <w:p w:rsidR="008249CB" w:rsidRPr="00122C33" w:rsidRDefault="008249CB" w:rsidP="008249CB">
            <w:r>
              <w:rPr>
                <w:i/>
                <w:iCs/>
              </w:rPr>
              <w:t>и корпоративному   страхованию</w:t>
            </w:r>
          </w:p>
        </w:tc>
        <w:tc>
          <w:tcPr>
            <w:tcW w:w="3935" w:type="dxa"/>
            <w:shd w:val="clear" w:color="auto" w:fill="auto"/>
            <w:noWrap/>
            <w:vAlign w:val="bottom"/>
            <w:hideMark/>
          </w:tcPr>
          <w:p w:rsidR="008249CB" w:rsidRPr="00921E5C" w:rsidRDefault="008249CB" w:rsidP="009D5689">
            <w:pPr>
              <w:spacing w:after="0"/>
              <w:rPr>
                <w:i/>
                <w:sz w:val="20"/>
                <w:szCs w:val="20"/>
              </w:rPr>
            </w:pPr>
            <w:r>
              <w:t xml:space="preserve"> </w:t>
            </w:r>
            <w:r w:rsidRPr="00DE0504">
              <w:rPr>
                <w:i/>
              </w:rPr>
              <w:t>________________/</w:t>
            </w:r>
            <w:r>
              <w:rPr>
                <w:u w:val="single"/>
              </w:rPr>
              <w:t>Пизниченко Н.С</w:t>
            </w:r>
            <w:r w:rsidRPr="00420F8C">
              <w:rPr>
                <w:i/>
                <w:u w:val="single"/>
              </w:rPr>
              <w:t>./</w:t>
            </w:r>
            <w:r w:rsidRPr="00921E5C">
              <w:rPr>
                <w:i/>
                <w:sz w:val="20"/>
                <w:szCs w:val="20"/>
              </w:rPr>
              <w:t xml:space="preserve">                                                       </w:t>
            </w:r>
          </w:p>
          <w:p w:rsidR="008249CB" w:rsidRPr="00921E5C" w:rsidRDefault="008249CB" w:rsidP="009D5689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</w:t>
            </w:r>
            <w:r w:rsidRPr="00921E5C">
              <w:rPr>
                <w:i/>
                <w:sz w:val="20"/>
                <w:szCs w:val="20"/>
              </w:rPr>
              <w:t xml:space="preserve"> (подпись)                          (Ф.И.О.)</w:t>
            </w:r>
          </w:p>
          <w:p w:rsidR="008249CB" w:rsidRPr="00044F07" w:rsidRDefault="008249CB" w:rsidP="009D5689">
            <w:pPr>
              <w:pStyle w:val="a6"/>
              <w:spacing w:before="0" w:after="0"/>
              <w:ind w:left="757" w:firstLine="0"/>
              <w:rPr>
                <w:bCs/>
              </w:rPr>
            </w:pPr>
          </w:p>
          <w:p w:rsidR="008249CB" w:rsidRPr="00122C33" w:rsidRDefault="008249CB" w:rsidP="009D5689">
            <w:pPr>
              <w:ind w:firstLine="0"/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249CB" w:rsidRPr="00122C33" w:rsidRDefault="008249CB" w:rsidP="009D5689"/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8249CB" w:rsidRPr="00122C33" w:rsidRDefault="008249CB" w:rsidP="009D5689"/>
        </w:tc>
      </w:tr>
    </w:tbl>
    <w:p w:rsidR="008249CB" w:rsidRPr="00036DD6" w:rsidRDefault="008249CB" w:rsidP="008249CB">
      <w:pPr>
        <w:spacing w:after="0"/>
        <w:rPr>
          <w:b/>
          <w:color w:val="000000"/>
        </w:rPr>
      </w:pPr>
      <w:r w:rsidRPr="00DE0504">
        <w:rPr>
          <w:b/>
          <w:color w:val="000000"/>
        </w:rPr>
        <w:t>Согласовано:</w:t>
      </w:r>
    </w:p>
    <w:p w:rsidR="008249CB" w:rsidRPr="00921E5C" w:rsidRDefault="008249CB" w:rsidP="008249CB">
      <w:pPr>
        <w:rPr>
          <w:i/>
          <w:sz w:val="20"/>
          <w:szCs w:val="20"/>
        </w:rPr>
      </w:pPr>
      <w:r>
        <w:rPr>
          <w:i/>
          <w:iCs/>
        </w:rPr>
        <w:t>Начальник управления экономики и финансов</w:t>
      </w:r>
      <w:r w:rsidRPr="00122C33">
        <w:rPr>
          <w:i/>
          <w:iCs/>
        </w:rPr>
        <w:t xml:space="preserve"> </w:t>
      </w:r>
      <w:r>
        <w:rPr>
          <w:i/>
          <w:iCs/>
        </w:rPr>
        <w:t xml:space="preserve">                                                                                 </w:t>
      </w:r>
      <w:r w:rsidRPr="00DE0504">
        <w:rPr>
          <w:i/>
        </w:rPr>
        <w:tab/>
        <w:t>___________________/</w:t>
      </w:r>
      <w:bookmarkStart w:id="12" w:name="OLE_LINK41"/>
      <w:bookmarkStart w:id="13" w:name="OLE_LINK42"/>
      <w:bookmarkStart w:id="14" w:name="OLE_LINK43"/>
      <w:bookmarkStart w:id="15" w:name="OLE_LINK123"/>
      <w:bookmarkStart w:id="16" w:name="OLE_LINK124"/>
      <w:r>
        <w:rPr>
          <w:u w:val="single"/>
        </w:rPr>
        <w:t>Семикин</w:t>
      </w:r>
      <w:r w:rsidRPr="00420F8C">
        <w:rPr>
          <w:u w:val="single"/>
        </w:rPr>
        <w:t xml:space="preserve"> А.</w:t>
      </w:r>
      <w:bookmarkEnd w:id="12"/>
      <w:bookmarkEnd w:id="13"/>
      <w:bookmarkEnd w:id="14"/>
      <w:bookmarkEnd w:id="15"/>
      <w:bookmarkEnd w:id="16"/>
      <w:r>
        <w:rPr>
          <w:u w:val="single"/>
        </w:rPr>
        <w:t>Н</w:t>
      </w:r>
      <w:r w:rsidRPr="00420F8C">
        <w:rPr>
          <w:i/>
          <w:u w:val="single"/>
        </w:rPr>
        <w:t>./</w:t>
      </w:r>
      <w:r w:rsidRPr="00921E5C">
        <w:rPr>
          <w:i/>
          <w:sz w:val="20"/>
          <w:szCs w:val="20"/>
        </w:rPr>
        <w:t xml:space="preserve">                                                       </w:t>
      </w:r>
    </w:p>
    <w:p w:rsidR="008249CB" w:rsidRPr="00220E61" w:rsidRDefault="008249CB" w:rsidP="008249CB">
      <w:pPr>
        <w:spacing w:after="0"/>
        <w:rPr>
          <w:i/>
          <w:sz w:val="20"/>
          <w:szCs w:val="20"/>
        </w:rPr>
      </w:pPr>
      <w:r w:rsidRPr="00921E5C">
        <w:rPr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</w:t>
      </w:r>
      <w:r w:rsidRPr="00921E5C">
        <w:rPr>
          <w:i/>
          <w:sz w:val="20"/>
          <w:szCs w:val="20"/>
        </w:rPr>
        <w:t>(подпись)                          (Ф.И.О.)</w:t>
      </w:r>
    </w:p>
    <w:p w:rsidR="00044F07" w:rsidRPr="00D113D4" w:rsidRDefault="00044F07" w:rsidP="008249CB">
      <w:pPr>
        <w:tabs>
          <w:tab w:val="left" w:pos="6237"/>
        </w:tabs>
        <w:spacing w:after="0"/>
        <w:rPr>
          <w:sz w:val="20"/>
          <w:szCs w:val="20"/>
        </w:rPr>
      </w:pPr>
    </w:p>
    <w:sectPr w:rsidR="00044F07" w:rsidRPr="00D113D4" w:rsidSect="00B251EB">
      <w:headerReference w:type="default" r:id="rId8"/>
      <w:pgSz w:w="16838" w:h="11906" w:orient="landscape"/>
      <w:pgMar w:top="567" w:right="85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7A3" w:rsidRDefault="006507A3" w:rsidP="00B251EB">
      <w:pPr>
        <w:spacing w:before="0" w:after="0"/>
      </w:pPr>
      <w:r>
        <w:separator/>
      </w:r>
    </w:p>
  </w:endnote>
  <w:endnote w:type="continuationSeparator" w:id="0">
    <w:p w:rsidR="006507A3" w:rsidRDefault="006507A3" w:rsidP="00B25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7A3" w:rsidRDefault="006507A3" w:rsidP="00B251EB">
      <w:pPr>
        <w:spacing w:before="0" w:after="0"/>
      </w:pPr>
      <w:r>
        <w:separator/>
      </w:r>
    </w:p>
  </w:footnote>
  <w:footnote w:type="continuationSeparator" w:id="0">
    <w:p w:rsidR="006507A3" w:rsidRDefault="006507A3" w:rsidP="00B25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1946"/>
      <w:docPartObj>
        <w:docPartGallery w:val="Page Numbers (Top of Page)"/>
        <w:docPartUnique/>
      </w:docPartObj>
    </w:sdtPr>
    <w:sdtEndPr/>
    <w:sdtContent>
      <w:p w:rsidR="00B251EB" w:rsidRDefault="00B151E4">
        <w:pPr>
          <w:pStyle w:val="a7"/>
          <w:jc w:val="right"/>
        </w:pPr>
        <w:r>
          <w:fldChar w:fldCharType="begin"/>
        </w:r>
        <w:r w:rsidR="008D74EA">
          <w:instrText xml:space="preserve"> PAGE   \* MERGEFORMAT </w:instrText>
        </w:r>
        <w:r>
          <w:fldChar w:fldCharType="separate"/>
        </w:r>
        <w:r w:rsidR="003B0F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51EB" w:rsidRDefault="00B251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1EC9"/>
    <w:multiLevelType w:val="hybridMultilevel"/>
    <w:tmpl w:val="84DC93CC"/>
    <w:lvl w:ilvl="0" w:tplc="AF48FA0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DA94A06"/>
    <w:multiLevelType w:val="hybridMultilevel"/>
    <w:tmpl w:val="D8FA7B0A"/>
    <w:lvl w:ilvl="0" w:tplc="6F92B232">
      <w:start w:val="8"/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0E074929"/>
    <w:multiLevelType w:val="hybridMultilevel"/>
    <w:tmpl w:val="C7BACDF6"/>
    <w:lvl w:ilvl="0" w:tplc="8CF4D266">
      <w:start w:val="1"/>
      <w:numFmt w:val="decimal"/>
      <w:lvlText w:val="6.%1."/>
      <w:lvlJc w:val="left"/>
      <w:pPr>
        <w:tabs>
          <w:tab w:val="num" w:pos="2912"/>
        </w:tabs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BE0380"/>
    <w:multiLevelType w:val="hybridMultilevel"/>
    <w:tmpl w:val="F1EEE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38D7"/>
    <w:multiLevelType w:val="hybridMultilevel"/>
    <w:tmpl w:val="A054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160D1"/>
    <w:multiLevelType w:val="hybridMultilevel"/>
    <w:tmpl w:val="E920EDD4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173D4609"/>
    <w:multiLevelType w:val="hybridMultilevel"/>
    <w:tmpl w:val="A26EE3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60C1D"/>
    <w:multiLevelType w:val="hybridMultilevel"/>
    <w:tmpl w:val="DFB49A9C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37507"/>
    <w:multiLevelType w:val="hybridMultilevel"/>
    <w:tmpl w:val="A5842604"/>
    <w:lvl w:ilvl="0" w:tplc="DBF61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21B38"/>
    <w:multiLevelType w:val="hybridMultilevel"/>
    <w:tmpl w:val="0EDE9FBA"/>
    <w:lvl w:ilvl="0" w:tplc="93DAB15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2C21381B"/>
    <w:multiLevelType w:val="hybridMultilevel"/>
    <w:tmpl w:val="2856EEF0"/>
    <w:lvl w:ilvl="0" w:tplc="DBF61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8494C"/>
    <w:multiLevelType w:val="hybridMultilevel"/>
    <w:tmpl w:val="61A0B23C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5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584EB2"/>
    <w:multiLevelType w:val="hybridMultilevel"/>
    <w:tmpl w:val="80FCA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13BEC"/>
    <w:multiLevelType w:val="singleLevel"/>
    <w:tmpl w:val="FE780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DB3E2"/>
        <w:sz w:val="20"/>
        <w:szCs w:val="20"/>
      </w:rPr>
    </w:lvl>
  </w:abstractNum>
  <w:abstractNum w:abstractNumId="15" w15:restartNumberingAfterBreak="0">
    <w:nsid w:val="3BEE5597"/>
    <w:multiLevelType w:val="hybridMultilevel"/>
    <w:tmpl w:val="739C9430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A75CE"/>
    <w:multiLevelType w:val="hybridMultilevel"/>
    <w:tmpl w:val="42AA06A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0716B4"/>
    <w:multiLevelType w:val="hybridMultilevel"/>
    <w:tmpl w:val="76E6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B031C"/>
    <w:multiLevelType w:val="hybridMultilevel"/>
    <w:tmpl w:val="E20C7B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D7B17"/>
    <w:multiLevelType w:val="hybridMultilevel"/>
    <w:tmpl w:val="EC96D2A8"/>
    <w:lvl w:ilvl="0" w:tplc="6F92B232">
      <w:start w:val="8"/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55"/>
    <w:multiLevelType w:val="multilevel"/>
    <w:tmpl w:val="9CB20370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6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1800"/>
      </w:pPr>
      <w:rPr>
        <w:rFonts w:hint="default"/>
      </w:rPr>
    </w:lvl>
  </w:abstractNum>
  <w:abstractNum w:abstractNumId="21" w15:restartNumberingAfterBreak="0">
    <w:nsid w:val="50BA3239"/>
    <w:multiLevelType w:val="multilevel"/>
    <w:tmpl w:val="0136AC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A036444"/>
    <w:multiLevelType w:val="hybridMultilevel"/>
    <w:tmpl w:val="B25AB610"/>
    <w:lvl w:ilvl="0" w:tplc="DBF61D7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BD66E6A"/>
    <w:multiLevelType w:val="hybridMultilevel"/>
    <w:tmpl w:val="CF162AB4"/>
    <w:lvl w:ilvl="0" w:tplc="D0E6967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7A5C5C65"/>
    <w:multiLevelType w:val="hybridMultilevel"/>
    <w:tmpl w:val="C26C4B1E"/>
    <w:lvl w:ilvl="0" w:tplc="6F92B232">
      <w:start w:val="8"/>
      <w:numFmt w:val="bullet"/>
      <w:lvlText w:val="•"/>
      <w:lvlJc w:val="left"/>
      <w:pPr>
        <w:ind w:left="11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24"/>
  </w:num>
  <w:num w:numId="9">
    <w:abstractNumId w:val="7"/>
  </w:num>
  <w:num w:numId="10">
    <w:abstractNumId w:val="18"/>
  </w:num>
  <w:num w:numId="11">
    <w:abstractNumId w:val="6"/>
  </w:num>
  <w:num w:numId="12">
    <w:abstractNumId w:val="14"/>
  </w:num>
  <w:num w:numId="13">
    <w:abstractNumId w:val="13"/>
  </w:num>
  <w:num w:numId="14">
    <w:abstractNumId w:val="15"/>
  </w:num>
  <w:num w:numId="15">
    <w:abstractNumId w:val="11"/>
  </w:num>
  <w:num w:numId="16">
    <w:abstractNumId w:val="0"/>
  </w:num>
  <w:num w:numId="17">
    <w:abstractNumId w:val="8"/>
  </w:num>
  <w:num w:numId="18">
    <w:abstractNumId w:val="3"/>
  </w:num>
  <w:num w:numId="19">
    <w:abstractNumId w:val="22"/>
  </w:num>
  <w:num w:numId="20">
    <w:abstractNumId w:val="17"/>
  </w:num>
  <w:num w:numId="21">
    <w:abstractNumId w:val="10"/>
  </w:num>
  <w:num w:numId="22">
    <w:abstractNumId w:val="16"/>
  </w:num>
  <w:num w:numId="23">
    <w:abstractNumId w:val="23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D98"/>
    <w:rsid w:val="00011510"/>
    <w:rsid w:val="00044F07"/>
    <w:rsid w:val="00054449"/>
    <w:rsid w:val="00072DE4"/>
    <w:rsid w:val="000A54DE"/>
    <w:rsid w:val="000C6A18"/>
    <w:rsid w:val="000F5876"/>
    <w:rsid w:val="00160224"/>
    <w:rsid w:val="001D6987"/>
    <w:rsid w:val="002008CB"/>
    <w:rsid w:val="00202DFB"/>
    <w:rsid w:val="00205602"/>
    <w:rsid w:val="00213C57"/>
    <w:rsid w:val="0024296C"/>
    <w:rsid w:val="00244D18"/>
    <w:rsid w:val="00345F1C"/>
    <w:rsid w:val="003B0FB4"/>
    <w:rsid w:val="003D767E"/>
    <w:rsid w:val="004175A9"/>
    <w:rsid w:val="00420F8C"/>
    <w:rsid w:val="00423B9F"/>
    <w:rsid w:val="004518DB"/>
    <w:rsid w:val="0045703F"/>
    <w:rsid w:val="00474F89"/>
    <w:rsid w:val="004873F2"/>
    <w:rsid w:val="004B1F2C"/>
    <w:rsid w:val="004C0D30"/>
    <w:rsid w:val="004D0021"/>
    <w:rsid w:val="004D2885"/>
    <w:rsid w:val="005401D5"/>
    <w:rsid w:val="006507A3"/>
    <w:rsid w:val="00680255"/>
    <w:rsid w:val="00681A41"/>
    <w:rsid w:val="006A1A4B"/>
    <w:rsid w:val="006E2F7D"/>
    <w:rsid w:val="006F1968"/>
    <w:rsid w:val="00707FDC"/>
    <w:rsid w:val="00752AC9"/>
    <w:rsid w:val="007C7C69"/>
    <w:rsid w:val="007F1EA6"/>
    <w:rsid w:val="008159B5"/>
    <w:rsid w:val="008249CB"/>
    <w:rsid w:val="008539E3"/>
    <w:rsid w:val="008C32EF"/>
    <w:rsid w:val="008D23BA"/>
    <w:rsid w:val="008D74EA"/>
    <w:rsid w:val="008E4D3E"/>
    <w:rsid w:val="00911BCD"/>
    <w:rsid w:val="00914544"/>
    <w:rsid w:val="00926965"/>
    <w:rsid w:val="00953397"/>
    <w:rsid w:val="009844A2"/>
    <w:rsid w:val="009B1D85"/>
    <w:rsid w:val="009C6935"/>
    <w:rsid w:val="00A00EC7"/>
    <w:rsid w:val="00A01F6E"/>
    <w:rsid w:val="00A41AE1"/>
    <w:rsid w:val="00A558C1"/>
    <w:rsid w:val="00AA0D3B"/>
    <w:rsid w:val="00AD1EBD"/>
    <w:rsid w:val="00AF7C35"/>
    <w:rsid w:val="00B151E4"/>
    <w:rsid w:val="00B251EB"/>
    <w:rsid w:val="00B40F89"/>
    <w:rsid w:val="00B650E6"/>
    <w:rsid w:val="00BB75F4"/>
    <w:rsid w:val="00BC1798"/>
    <w:rsid w:val="00BE24A1"/>
    <w:rsid w:val="00BE5E65"/>
    <w:rsid w:val="00C47963"/>
    <w:rsid w:val="00CE3CDB"/>
    <w:rsid w:val="00CE403A"/>
    <w:rsid w:val="00D113D4"/>
    <w:rsid w:val="00D32EB8"/>
    <w:rsid w:val="00D341D7"/>
    <w:rsid w:val="00D40135"/>
    <w:rsid w:val="00D47B7A"/>
    <w:rsid w:val="00D91176"/>
    <w:rsid w:val="00DA4783"/>
    <w:rsid w:val="00DE3155"/>
    <w:rsid w:val="00DF09A7"/>
    <w:rsid w:val="00E13616"/>
    <w:rsid w:val="00E241B4"/>
    <w:rsid w:val="00E25DCC"/>
    <w:rsid w:val="00E439C0"/>
    <w:rsid w:val="00E653C0"/>
    <w:rsid w:val="00E66456"/>
    <w:rsid w:val="00E82BC1"/>
    <w:rsid w:val="00EA74D9"/>
    <w:rsid w:val="00EC7616"/>
    <w:rsid w:val="00EF7BEF"/>
    <w:rsid w:val="00F53453"/>
    <w:rsid w:val="00F87F55"/>
    <w:rsid w:val="00F91D9F"/>
    <w:rsid w:val="00FA6D98"/>
    <w:rsid w:val="00FB3DE3"/>
    <w:rsid w:val="00FB3ED6"/>
    <w:rsid w:val="00FC23F7"/>
    <w:rsid w:val="00FD2C31"/>
    <w:rsid w:val="00FF141C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298A4-8EAA-4E6C-AECB-D5AC01DD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7FDC"/>
    <w:pPr>
      <w:autoSpaceDE w:val="0"/>
      <w:autoSpaceDN w:val="0"/>
      <w:adjustRightInd w:val="0"/>
      <w:spacing w:before="240" w:line="264" w:lineRule="auto"/>
      <w:ind w:firstLine="0"/>
      <w:jc w:val="left"/>
      <w:textAlignment w:val="center"/>
      <w:outlineLvl w:val="1"/>
    </w:pPr>
    <w:rPr>
      <w:rFonts w:ascii="Arial" w:hAnsi="Arial"/>
      <w:color w:val="5EB6E4"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FA6D98"/>
    <w:pPr>
      <w:spacing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rsid w:val="00FA6D9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Normal (Web)"/>
    <w:basedOn w:val="a"/>
    <w:rsid w:val="00FA6D98"/>
    <w:pPr>
      <w:suppressAutoHyphens/>
      <w:spacing w:before="100"/>
    </w:pPr>
    <w:rPr>
      <w:rFonts w:eastAsia="MS Mincho"/>
      <w:sz w:val="22"/>
      <w:lang w:val="en-GB" w:eastAsia="ar-SA"/>
    </w:rPr>
  </w:style>
  <w:style w:type="paragraph" w:styleId="a5">
    <w:name w:val="No Spacing"/>
    <w:qFormat/>
    <w:rsid w:val="00FA6D98"/>
    <w:pPr>
      <w:spacing w:before="120" w:after="120" w:line="288" w:lineRule="auto"/>
      <w:ind w:left="397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202DF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24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24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82B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2BC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2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2B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2B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onBodyCopy">
    <w:name w:val="Aon Body Copy"/>
    <w:basedOn w:val="a"/>
    <w:link w:val="AonBodyCopyChar"/>
    <w:rsid w:val="00AD1EBD"/>
    <w:pPr>
      <w:spacing w:before="0" w:after="240" w:line="264" w:lineRule="auto"/>
      <w:ind w:firstLine="0"/>
      <w:jc w:val="left"/>
    </w:pPr>
    <w:rPr>
      <w:rFonts w:ascii="Arial" w:eastAsia="MS Mincho" w:hAnsi="Arial"/>
      <w:sz w:val="20"/>
      <w:szCs w:val="20"/>
      <w:lang w:val="en-US"/>
    </w:rPr>
  </w:style>
  <w:style w:type="character" w:customStyle="1" w:styleId="AonBodyCopyChar">
    <w:name w:val="Aon Body Copy Char"/>
    <w:link w:val="AonBodyCopy"/>
    <w:rsid w:val="00AD1EBD"/>
    <w:rPr>
      <w:rFonts w:ascii="Arial" w:eastAsia="MS Mincho" w:hAnsi="Arial" w:cs="Times New Roman"/>
      <w:sz w:val="20"/>
      <w:szCs w:val="20"/>
      <w:lang w:val="en-US"/>
    </w:rPr>
  </w:style>
  <w:style w:type="paragraph" w:customStyle="1" w:styleId="Body2">
    <w:name w:val="Body2"/>
    <w:aliases w:val="b2"/>
    <w:basedOn w:val="a"/>
    <w:link w:val="Body2Char"/>
    <w:rsid w:val="00EC7616"/>
    <w:pPr>
      <w:spacing w:before="0" w:after="240"/>
      <w:ind w:left="720" w:firstLine="0"/>
    </w:pPr>
    <w:rPr>
      <w:lang w:val="en-GB"/>
    </w:rPr>
  </w:style>
  <w:style w:type="character" w:customStyle="1" w:styleId="Body2Char">
    <w:name w:val="Body2 Char"/>
    <w:basedOn w:val="a0"/>
    <w:link w:val="Body2"/>
    <w:rsid w:val="00EC76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AonBulletCopy">
    <w:name w:val="Aon Bullet Copy"/>
    <w:basedOn w:val="AonBodyCopy"/>
    <w:rsid w:val="00160224"/>
    <w:pPr>
      <w:spacing w:after="120" w:line="240" w:lineRule="auto"/>
    </w:pPr>
    <w:rPr>
      <w:rFonts w:eastAsia="Times New Roman"/>
    </w:rPr>
  </w:style>
  <w:style w:type="paragraph" w:styleId="3">
    <w:name w:val="toc 3"/>
    <w:basedOn w:val="a"/>
    <w:next w:val="a"/>
    <w:uiPriority w:val="39"/>
    <w:rsid w:val="00160224"/>
    <w:pPr>
      <w:tabs>
        <w:tab w:val="right" w:pos="7920"/>
      </w:tabs>
      <w:spacing w:before="0" w:after="0" w:line="480" w:lineRule="auto"/>
      <w:ind w:firstLine="0"/>
      <w:jc w:val="left"/>
    </w:pPr>
    <w:rPr>
      <w:rFonts w:ascii="Arial" w:eastAsia="Times" w:hAnsi="Arial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707FDC"/>
    <w:rPr>
      <w:rFonts w:ascii="Arial" w:eastAsia="Times New Roman" w:hAnsi="Arial" w:cs="Times New Roman"/>
      <w:color w:val="5EB6E4"/>
      <w:sz w:val="32"/>
      <w:szCs w:val="20"/>
      <w:lang w:val="en-US"/>
    </w:rPr>
  </w:style>
  <w:style w:type="paragraph" w:customStyle="1" w:styleId="1">
    <w:name w:val="Абзац списка1"/>
    <w:basedOn w:val="a"/>
    <w:rsid w:val="009B1D8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0">
    <w:name w:val="???????1"/>
    <w:rsid w:val="00474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8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24F9E-BA28-498B-A899-7DB85B04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l.krasovskaya</dc:creator>
  <cp:lastModifiedBy>Рындина Анастасия Сергеевна</cp:lastModifiedBy>
  <cp:revision>14</cp:revision>
  <cp:lastPrinted>2017-05-18T16:20:00Z</cp:lastPrinted>
  <dcterms:created xsi:type="dcterms:W3CDTF">2016-05-27T01:43:00Z</dcterms:created>
  <dcterms:modified xsi:type="dcterms:W3CDTF">2019-05-08T13:37:00Z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