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F07" w:rsidRPr="00C53360" w:rsidRDefault="00044F07" w:rsidP="00044F07">
      <w:pPr>
        <w:spacing w:after="0"/>
        <w:jc w:val="center"/>
      </w:pPr>
      <w:r w:rsidRPr="00C53360">
        <w:rPr>
          <w:b/>
        </w:rPr>
        <w:t xml:space="preserve">Техническое задание </w:t>
      </w:r>
      <w:r w:rsidRPr="00C53360">
        <w:t xml:space="preserve"> </w:t>
      </w:r>
    </w:p>
    <w:p w:rsidR="00044F07" w:rsidRDefault="00044F07" w:rsidP="00044F07">
      <w:pPr>
        <w:spacing w:after="0"/>
        <w:jc w:val="center"/>
        <w:rPr>
          <w:b/>
        </w:rPr>
      </w:pPr>
      <w:r w:rsidRPr="00C53360">
        <w:rPr>
          <w:b/>
        </w:rPr>
        <w:t xml:space="preserve">на </w:t>
      </w:r>
      <w:r>
        <w:rPr>
          <w:b/>
        </w:rPr>
        <w:t>выполнение работ</w:t>
      </w:r>
      <w:r w:rsidRPr="00C53360">
        <w:rPr>
          <w:b/>
        </w:rPr>
        <w:t xml:space="preserve"> </w:t>
      </w:r>
      <w:r>
        <w:rPr>
          <w:b/>
        </w:rPr>
        <w:t>(</w:t>
      </w:r>
      <w:r w:rsidRPr="00C53360">
        <w:rPr>
          <w:b/>
        </w:rPr>
        <w:t>оказание услуг</w:t>
      </w:r>
      <w:r>
        <w:rPr>
          <w:b/>
        </w:rPr>
        <w:t>)</w:t>
      </w:r>
    </w:p>
    <w:p w:rsidR="00044F07" w:rsidRPr="00C53360" w:rsidRDefault="00044F07" w:rsidP="00044F07">
      <w:pPr>
        <w:spacing w:after="0"/>
        <w:jc w:val="center"/>
        <w:rPr>
          <w:b/>
        </w:rPr>
      </w:pPr>
    </w:p>
    <w:p w:rsidR="00FA6D98" w:rsidRPr="009C6935" w:rsidRDefault="004E76EA" w:rsidP="004D0021">
      <w:pPr>
        <w:pStyle w:val="a5"/>
        <w:spacing w:before="0" w:after="0" w:line="240" w:lineRule="auto"/>
        <w:ind w:left="0" w:firstLine="0"/>
        <w:jc w:val="center"/>
        <w:rPr>
          <w:b/>
          <w:bCs/>
          <w:sz w:val="20"/>
        </w:rPr>
      </w:pPr>
      <w:r>
        <w:rPr>
          <w:b/>
          <w:bCs/>
          <w:sz w:val="20"/>
        </w:rPr>
        <w:t>Предмет договора</w:t>
      </w:r>
      <w:r w:rsidR="00FA6D98" w:rsidRPr="009C6935">
        <w:rPr>
          <w:b/>
          <w:bCs/>
          <w:sz w:val="20"/>
        </w:rPr>
        <w:t>: «</w:t>
      </w:r>
      <w:bookmarkStart w:id="0" w:name="OLE_LINK2"/>
      <w:bookmarkStart w:id="1" w:name="OLE_LINK3"/>
      <w:bookmarkStart w:id="2" w:name="OLE_LINK4"/>
      <w:bookmarkStart w:id="3" w:name="OLE_LINK19"/>
      <w:r w:rsidR="00FA6D98" w:rsidRPr="009C6935">
        <w:rPr>
          <w:b/>
          <w:bCs/>
          <w:sz w:val="20"/>
        </w:rPr>
        <w:t xml:space="preserve">Выбор специализированной организации (Страховщика) для страхования </w:t>
      </w:r>
      <w:bookmarkStart w:id="4" w:name="OLE_LINK1"/>
      <w:bookmarkStart w:id="5" w:name="OLE_LINK7"/>
      <w:bookmarkStart w:id="6" w:name="OLE_LINK8"/>
      <w:bookmarkEnd w:id="0"/>
      <w:bookmarkEnd w:id="1"/>
      <w:bookmarkEnd w:id="2"/>
      <w:bookmarkEnd w:id="3"/>
      <w:r w:rsidR="00A867C7" w:rsidRPr="00A867C7">
        <w:rPr>
          <w:b/>
          <w:bCs/>
          <w:sz w:val="20"/>
          <w:u w:val="single"/>
        </w:rPr>
        <w:t>ответственности перед третьими лицами.</w:t>
      </w:r>
      <w:bookmarkEnd w:id="4"/>
      <w:bookmarkEnd w:id="5"/>
      <w:bookmarkEnd w:id="6"/>
    </w:p>
    <w:p w:rsidR="000169F8" w:rsidRDefault="000169F8" w:rsidP="004D0021">
      <w:pPr>
        <w:pStyle w:val="a5"/>
        <w:spacing w:before="0" w:after="0"/>
        <w:ind w:firstLine="0"/>
        <w:rPr>
          <w:b/>
          <w:bCs/>
          <w:sz w:val="20"/>
        </w:rPr>
      </w:pPr>
    </w:p>
    <w:p w:rsidR="004D0021" w:rsidRDefault="004D0021" w:rsidP="004D0021">
      <w:pPr>
        <w:pStyle w:val="a5"/>
        <w:spacing w:before="0" w:after="0"/>
        <w:ind w:firstLine="0"/>
        <w:rPr>
          <w:b/>
          <w:bCs/>
          <w:sz w:val="20"/>
        </w:rPr>
      </w:pPr>
      <w:r w:rsidRPr="009C6935">
        <w:rPr>
          <w:b/>
          <w:bCs/>
          <w:sz w:val="20"/>
        </w:rPr>
        <w:t xml:space="preserve">Общие  </w:t>
      </w:r>
      <w:r w:rsidR="00A01F6E" w:rsidRPr="009C6935">
        <w:rPr>
          <w:b/>
          <w:bCs/>
          <w:sz w:val="20"/>
        </w:rPr>
        <w:t>условия  страхования  имущества:</w:t>
      </w:r>
    </w:p>
    <w:p w:rsidR="00044F07" w:rsidRPr="009C6935" w:rsidRDefault="00044F07" w:rsidP="004D0021">
      <w:pPr>
        <w:pStyle w:val="a5"/>
        <w:spacing w:before="0" w:after="0"/>
        <w:ind w:firstLine="0"/>
        <w:rPr>
          <w:b/>
          <w:bCs/>
          <w:sz w:val="20"/>
        </w:rPr>
      </w:pPr>
    </w:p>
    <w:p w:rsidR="004D0021" w:rsidRPr="009C6935" w:rsidRDefault="004D0021" w:rsidP="004D0021">
      <w:pPr>
        <w:pStyle w:val="a5"/>
        <w:numPr>
          <w:ilvl w:val="0"/>
          <w:numId w:val="4"/>
        </w:numPr>
        <w:spacing w:before="0" w:after="0"/>
        <w:rPr>
          <w:bCs/>
          <w:sz w:val="20"/>
        </w:rPr>
      </w:pPr>
      <w:r w:rsidRPr="009C6935">
        <w:rPr>
          <w:bCs/>
          <w:sz w:val="20"/>
        </w:rPr>
        <w:t>Срок действия договоров страхования  – 1</w:t>
      </w:r>
      <w:r w:rsidR="004E76EA">
        <w:rPr>
          <w:bCs/>
          <w:sz w:val="20"/>
        </w:rPr>
        <w:t>2</w:t>
      </w:r>
      <w:r w:rsidRPr="009C6935">
        <w:rPr>
          <w:bCs/>
          <w:sz w:val="20"/>
        </w:rPr>
        <w:t xml:space="preserve"> </w:t>
      </w:r>
      <w:r w:rsidR="004E76EA">
        <w:rPr>
          <w:bCs/>
          <w:sz w:val="20"/>
        </w:rPr>
        <w:t>месяцев</w:t>
      </w:r>
      <w:r w:rsidRPr="009C6935">
        <w:rPr>
          <w:bCs/>
          <w:sz w:val="20"/>
        </w:rPr>
        <w:t>;</w:t>
      </w:r>
    </w:p>
    <w:p w:rsidR="004D0021" w:rsidRPr="009C6935" w:rsidRDefault="004D0021" w:rsidP="004D0021">
      <w:pPr>
        <w:pStyle w:val="a5"/>
        <w:numPr>
          <w:ilvl w:val="0"/>
          <w:numId w:val="4"/>
        </w:numPr>
        <w:spacing w:before="0" w:after="0"/>
        <w:rPr>
          <w:bCs/>
          <w:sz w:val="20"/>
        </w:rPr>
      </w:pPr>
      <w:r w:rsidRPr="009C6935">
        <w:rPr>
          <w:bCs/>
          <w:sz w:val="20"/>
        </w:rPr>
        <w:t>Оплата страховой премии – поквартально равными платежами (4 платежа) не позднее 20 числа первого месяца  соответствующего квартала;</w:t>
      </w:r>
    </w:p>
    <w:p w:rsidR="004D0021" w:rsidRPr="009C6935" w:rsidRDefault="004D0021" w:rsidP="004D0021">
      <w:pPr>
        <w:pStyle w:val="a5"/>
        <w:numPr>
          <w:ilvl w:val="0"/>
          <w:numId w:val="4"/>
        </w:numPr>
        <w:spacing w:before="0" w:after="0"/>
        <w:rPr>
          <w:bCs/>
          <w:sz w:val="20"/>
        </w:rPr>
      </w:pPr>
      <w:r w:rsidRPr="009C6935">
        <w:rPr>
          <w:bCs/>
          <w:sz w:val="20"/>
        </w:rPr>
        <w:t>Условие о досрочном расторжении договора страхования - с предупреждением  Стороны  за 30 дней до даты прекращения срока действия договора; При досрочном расторжении Страховщик осуществляет возврат страховой премии пропорционально использованному периоду.</w:t>
      </w:r>
    </w:p>
    <w:p w:rsidR="004D0021" w:rsidRPr="009C6935" w:rsidRDefault="004D0021" w:rsidP="004D0021">
      <w:pPr>
        <w:pStyle w:val="a5"/>
        <w:numPr>
          <w:ilvl w:val="0"/>
          <w:numId w:val="4"/>
        </w:numPr>
        <w:spacing w:before="0" w:after="0"/>
        <w:rPr>
          <w:bCs/>
          <w:sz w:val="20"/>
        </w:rPr>
      </w:pPr>
      <w:r w:rsidRPr="009C6935">
        <w:rPr>
          <w:bCs/>
          <w:sz w:val="20"/>
        </w:rPr>
        <w:t>Отношения Сторон по Договору регулируются действующим законодательством Российской Федерации.</w:t>
      </w:r>
    </w:p>
    <w:p w:rsidR="004D0021" w:rsidRPr="009C6935" w:rsidRDefault="004D0021" w:rsidP="004D0021">
      <w:pPr>
        <w:pStyle w:val="a5"/>
        <w:numPr>
          <w:ilvl w:val="0"/>
          <w:numId w:val="4"/>
        </w:numPr>
        <w:spacing w:before="0" w:after="0"/>
        <w:rPr>
          <w:bCs/>
          <w:sz w:val="20"/>
        </w:rPr>
      </w:pPr>
      <w:r w:rsidRPr="009C6935">
        <w:rPr>
          <w:bCs/>
          <w:sz w:val="20"/>
        </w:rPr>
        <w:t>Страхователь по запросу Страховщика предоставит возможность осмотра имущества.</w:t>
      </w:r>
    </w:p>
    <w:p w:rsidR="008539E3" w:rsidRPr="009C6935" w:rsidRDefault="008539E3" w:rsidP="004D0021">
      <w:pPr>
        <w:pStyle w:val="a5"/>
        <w:numPr>
          <w:ilvl w:val="0"/>
          <w:numId w:val="4"/>
        </w:numPr>
        <w:spacing w:before="0" w:after="0"/>
        <w:rPr>
          <w:bCs/>
          <w:sz w:val="20"/>
        </w:rPr>
      </w:pPr>
      <w:r w:rsidRPr="009C6935">
        <w:rPr>
          <w:bCs/>
          <w:sz w:val="20"/>
        </w:rPr>
        <w:t xml:space="preserve">Территория страхования: </w:t>
      </w:r>
      <w:bookmarkStart w:id="7" w:name="OLE_LINK5"/>
      <w:bookmarkStart w:id="8" w:name="OLE_LINK6"/>
      <w:r w:rsidRPr="009C6935">
        <w:rPr>
          <w:bCs/>
          <w:sz w:val="20"/>
        </w:rPr>
        <w:t>г. Сочи. пос. Красная поляна</w:t>
      </w:r>
      <w:r w:rsidRPr="009C6935">
        <w:rPr>
          <w:bCs/>
          <w:sz w:val="20"/>
          <w:lang w:val="en-US"/>
        </w:rPr>
        <w:t xml:space="preserve">. </w:t>
      </w:r>
      <w:proofErr w:type="spellStart"/>
      <w:r w:rsidRPr="009C6935">
        <w:rPr>
          <w:bCs/>
          <w:sz w:val="20"/>
          <w:lang w:val="en-US"/>
        </w:rPr>
        <w:t>Эсто-Садок</w:t>
      </w:r>
      <w:bookmarkEnd w:id="7"/>
      <w:bookmarkEnd w:id="8"/>
      <w:proofErr w:type="spellEnd"/>
    </w:p>
    <w:p w:rsidR="006F1968" w:rsidRPr="00BE5E65" w:rsidRDefault="000F5876" w:rsidP="006F1968">
      <w:pPr>
        <w:pStyle w:val="a5"/>
        <w:numPr>
          <w:ilvl w:val="0"/>
          <w:numId w:val="4"/>
        </w:numPr>
        <w:spacing w:before="0" w:after="0"/>
        <w:rPr>
          <w:bCs/>
          <w:sz w:val="20"/>
        </w:rPr>
      </w:pPr>
      <w:r w:rsidRPr="00BE5E65">
        <w:rPr>
          <w:bCs/>
          <w:sz w:val="20"/>
        </w:rPr>
        <w:t>Все страховые суммы, франшизы и суммы премии выражаются в долларах США.</w:t>
      </w:r>
    </w:p>
    <w:p w:rsidR="006F1968" w:rsidRPr="009C6935" w:rsidRDefault="006F1968" w:rsidP="006E2F7D">
      <w:pPr>
        <w:pStyle w:val="a5"/>
        <w:spacing w:before="0" w:after="0"/>
        <w:ind w:left="757" w:firstLine="0"/>
        <w:rPr>
          <w:bCs/>
          <w:sz w:val="20"/>
          <w:highlight w:val="yellow"/>
        </w:rPr>
      </w:pPr>
    </w:p>
    <w:p w:rsidR="004D0021" w:rsidRPr="009C6935" w:rsidRDefault="004D0021" w:rsidP="004D0021">
      <w:pPr>
        <w:pStyle w:val="a5"/>
        <w:spacing w:before="0" w:after="0" w:line="240" w:lineRule="auto"/>
        <w:ind w:left="0" w:firstLine="0"/>
        <w:rPr>
          <w:b/>
          <w:bCs/>
          <w:sz w:val="20"/>
        </w:rPr>
      </w:pPr>
      <w:r w:rsidRPr="009C6935">
        <w:rPr>
          <w:b/>
          <w:bCs/>
          <w:sz w:val="20"/>
        </w:rPr>
        <w:t xml:space="preserve">В </w:t>
      </w:r>
      <w:r w:rsidR="00914544" w:rsidRPr="009C6935">
        <w:rPr>
          <w:b/>
          <w:bCs/>
          <w:sz w:val="20"/>
        </w:rPr>
        <w:t xml:space="preserve">разделе 2 </w:t>
      </w:r>
      <w:r w:rsidRPr="009C6935">
        <w:rPr>
          <w:b/>
          <w:bCs/>
          <w:sz w:val="20"/>
        </w:rPr>
        <w:t>Страховщик должен  предложить  все ограничения  и исключения  из страхового покрытия, а также  предложить  дополнительные риски для страхования и  условия по оптимизации страхования и выплаты страховых премий.</w:t>
      </w:r>
    </w:p>
    <w:p w:rsidR="00E25DCC" w:rsidRPr="009C6935" w:rsidRDefault="00E25DCC" w:rsidP="00FA6D98">
      <w:pPr>
        <w:pStyle w:val="a5"/>
        <w:spacing w:before="0" w:after="0" w:line="240" w:lineRule="auto"/>
        <w:ind w:left="0" w:firstLine="0"/>
        <w:rPr>
          <w:b/>
          <w:bCs/>
          <w:sz w:val="20"/>
          <w:highlight w:val="yellow"/>
        </w:rPr>
      </w:pPr>
    </w:p>
    <w:p w:rsidR="002008CB" w:rsidRPr="009C6935" w:rsidRDefault="002008CB" w:rsidP="00FA6D98">
      <w:pPr>
        <w:spacing w:before="0" w:after="0"/>
        <w:ind w:left="1701" w:hanging="1701"/>
        <w:outlineLvl w:val="0"/>
        <w:rPr>
          <w:b/>
          <w:sz w:val="20"/>
          <w:szCs w:val="20"/>
          <w:highlight w:val="yellow"/>
        </w:rPr>
      </w:pPr>
    </w:p>
    <w:p w:rsidR="00213C57" w:rsidRPr="00BE5E65" w:rsidRDefault="002008CB" w:rsidP="00BE5E65">
      <w:pPr>
        <w:spacing w:before="0" w:after="0"/>
        <w:ind w:firstLine="0"/>
        <w:jc w:val="center"/>
        <w:outlineLvl w:val="0"/>
        <w:rPr>
          <w:b/>
          <w:bCs/>
          <w:color w:val="943634" w:themeColor="accent2" w:themeShade="BF"/>
          <w:sz w:val="28"/>
          <w:szCs w:val="20"/>
          <w:u w:val="single"/>
        </w:rPr>
      </w:pPr>
      <w:bookmarkStart w:id="9" w:name="OLE_LINK105"/>
      <w:bookmarkStart w:id="10" w:name="OLE_LINK106"/>
      <w:bookmarkStart w:id="11" w:name="OLE_LINK107"/>
      <w:r w:rsidRPr="00BE5E65">
        <w:rPr>
          <w:b/>
          <w:bCs/>
          <w:color w:val="943634" w:themeColor="accent2" w:themeShade="BF"/>
          <w:sz w:val="28"/>
          <w:szCs w:val="20"/>
          <w:u w:val="single"/>
        </w:rPr>
        <w:t>Страхование ответственности перед третьими лицами</w:t>
      </w:r>
      <w:bookmarkEnd w:id="9"/>
      <w:bookmarkEnd w:id="10"/>
      <w:bookmarkEnd w:id="11"/>
    </w:p>
    <w:p w:rsidR="00BE5E65" w:rsidRPr="00BE5E65" w:rsidRDefault="00BE5E65" w:rsidP="00BE5E65">
      <w:pPr>
        <w:spacing w:before="0" w:after="0"/>
        <w:ind w:firstLine="0"/>
        <w:jc w:val="center"/>
        <w:outlineLvl w:val="0"/>
        <w:rPr>
          <w:b/>
          <w:bCs/>
          <w:color w:val="943634" w:themeColor="accent2" w:themeShade="BF"/>
          <w:szCs w:val="20"/>
          <w:u w:val="single"/>
        </w:rPr>
      </w:pPr>
    </w:p>
    <w:tbl>
      <w:tblPr>
        <w:tblStyle w:val="a3"/>
        <w:tblW w:w="0" w:type="auto"/>
        <w:tblLook w:val="04A0" w:firstRow="1" w:lastRow="0" w:firstColumn="1" w:lastColumn="0" w:noHBand="0" w:noVBand="1"/>
      </w:tblPr>
      <w:tblGrid>
        <w:gridCol w:w="6062"/>
        <w:gridCol w:w="9120"/>
      </w:tblGrid>
      <w:tr w:rsidR="008D23BA" w:rsidRPr="00707FDC" w:rsidTr="008D23BA">
        <w:tc>
          <w:tcPr>
            <w:tcW w:w="6062" w:type="dxa"/>
          </w:tcPr>
          <w:p w:rsidR="008D23BA" w:rsidRPr="00707FDC" w:rsidRDefault="008D23BA" w:rsidP="00FA6D98">
            <w:pPr>
              <w:spacing w:before="0" w:after="0"/>
              <w:ind w:firstLine="0"/>
              <w:outlineLvl w:val="0"/>
              <w:rPr>
                <w:b/>
                <w:sz w:val="20"/>
                <w:szCs w:val="20"/>
                <w:lang w:val="en-US"/>
              </w:rPr>
            </w:pPr>
            <w:proofErr w:type="spellStart"/>
            <w:r w:rsidRPr="00707FDC">
              <w:rPr>
                <w:b/>
                <w:sz w:val="20"/>
                <w:szCs w:val="20"/>
                <w:lang w:val="en-US"/>
              </w:rPr>
              <w:t>Объект</w:t>
            </w:r>
            <w:proofErr w:type="spellEnd"/>
            <w:r w:rsidRPr="00707FDC">
              <w:rPr>
                <w:b/>
                <w:sz w:val="20"/>
                <w:szCs w:val="20"/>
                <w:lang w:val="en-US"/>
              </w:rPr>
              <w:t xml:space="preserve"> </w:t>
            </w:r>
            <w:proofErr w:type="spellStart"/>
            <w:r w:rsidRPr="00707FDC">
              <w:rPr>
                <w:b/>
                <w:sz w:val="20"/>
                <w:szCs w:val="20"/>
                <w:lang w:val="en-US"/>
              </w:rPr>
              <w:t>страхования</w:t>
            </w:r>
            <w:proofErr w:type="spellEnd"/>
          </w:p>
        </w:tc>
        <w:tc>
          <w:tcPr>
            <w:tcW w:w="9120" w:type="dxa"/>
          </w:tcPr>
          <w:p w:rsidR="00707FDC" w:rsidRPr="00707FDC" w:rsidRDefault="00707FDC" w:rsidP="00707FDC">
            <w:pPr>
              <w:spacing w:line="264" w:lineRule="auto"/>
              <w:ind w:firstLine="238"/>
              <w:rPr>
                <w:rFonts w:cs="Arial"/>
                <w:color w:val="000000"/>
                <w:sz w:val="20"/>
                <w:szCs w:val="20"/>
                <w:lang w:eastAsia="smn-FI"/>
              </w:rPr>
            </w:pPr>
            <w:r w:rsidRPr="00707FDC">
              <w:rPr>
                <w:rFonts w:cs="Arial"/>
                <w:color w:val="000000"/>
                <w:sz w:val="20"/>
                <w:szCs w:val="20"/>
                <w:lang w:eastAsia="smn-FI"/>
              </w:rPr>
              <w:t>Защита не противоречащих законодательству РФ имущественных интересов Заказчика и дополнительно застрахованных по договору страхования лиц (совместно «Лица, чья ответственность застрахована»), связанных с их обязанностью в порядке, установленным законодательством, возместить ущерб, нанесенный третьим лицам в результате наступления страхового случая, а также с компенсаций судебных и внесудебных расходов, связанных с наступлением ответственности Лиц, чья ответственность застрахована, за причинение вреда третьим лицам при осуществлении застрахованной деятельности.</w:t>
            </w:r>
          </w:p>
          <w:p w:rsidR="008D23BA" w:rsidRPr="00707FDC" w:rsidRDefault="00707FDC" w:rsidP="00707FDC">
            <w:pPr>
              <w:spacing w:line="264" w:lineRule="auto"/>
              <w:ind w:firstLine="238"/>
              <w:rPr>
                <w:sz w:val="20"/>
                <w:szCs w:val="20"/>
              </w:rPr>
            </w:pPr>
            <w:r w:rsidRPr="00707FDC">
              <w:rPr>
                <w:rFonts w:cs="Arial"/>
                <w:color w:val="000000"/>
                <w:sz w:val="20"/>
                <w:szCs w:val="20"/>
                <w:lang w:eastAsia="smn-FI"/>
              </w:rPr>
              <w:t xml:space="preserve">2. Защита не противоречащих законодательству РФ имущественных интересов Заказчика, связанных с его обязательствами, возникающими у него вследствие предъявления требований о компенсации ущерба сверх выплат, которые должны быть произведены в рамках страхования ответственности за причинение вреда личности или имуществу юридического лица вследствие разрушения, повреждения здания, сооружения либо части здания или сооружения, нарушения требований к обеспечению безопасной эксплуатации здания, сооружения, если Заказчик не докажет, что указанные разрушение, повреждение, нарушение возникли вследствие умысла потерпевшего, действий третьих лиц или </w:t>
            </w:r>
            <w:r w:rsidRPr="00707FDC">
              <w:rPr>
                <w:rFonts w:cs="Arial"/>
                <w:color w:val="000000"/>
                <w:sz w:val="20"/>
                <w:szCs w:val="20"/>
                <w:lang w:eastAsia="smn-FI"/>
              </w:rPr>
              <w:lastRenderedPageBreak/>
              <w:t>чрезвычайного и непредотвратимого при данных условиях обстоятельства (непреодолимой силы) в соответствии со статьей 60 Градостроительного кодекса РФ.</w:t>
            </w:r>
          </w:p>
        </w:tc>
      </w:tr>
      <w:tr w:rsidR="00707FDC" w:rsidRPr="00707FDC" w:rsidTr="008D23BA">
        <w:tc>
          <w:tcPr>
            <w:tcW w:w="6062" w:type="dxa"/>
          </w:tcPr>
          <w:p w:rsidR="00707FDC" w:rsidRPr="00707FDC" w:rsidRDefault="00707FDC" w:rsidP="00FA6D98">
            <w:pPr>
              <w:spacing w:before="0" w:after="0"/>
              <w:ind w:firstLine="0"/>
              <w:outlineLvl w:val="0"/>
              <w:rPr>
                <w:b/>
                <w:sz w:val="20"/>
                <w:szCs w:val="20"/>
              </w:rPr>
            </w:pPr>
            <w:r>
              <w:rPr>
                <w:b/>
                <w:sz w:val="20"/>
                <w:szCs w:val="20"/>
              </w:rPr>
              <w:lastRenderedPageBreak/>
              <w:t>Выгодоприобретатель</w:t>
            </w:r>
          </w:p>
        </w:tc>
        <w:tc>
          <w:tcPr>
            <w:tcW w:w="9120" w:type="dxa"/>
          </w:tcPr>
          <w:p w:rsidR="00707FDC" w:rsidRPr="00707FDC" w:rsidRDefault="00707FDC" w:rsidP="00707FDC">
            <w:pPr>
              <w:spacing w:line="264" w:lineRule="auto"/>
              <w:ind w:firstLine="238"/>
              <w:rPr>
                <w:rFonts w:cs="Arial"/>
                <w:color w:val="000000"/>
                <w:sz w:val="20"/>
                <w:szCs w:val="20"/>
                <w:lang w:eastAsia="smn-FI"/>
              </w:rPr>
            </w:pPr>
            <w:r w:rsidRPr="00707FDC">
              <w:rPr>
                <w:rFonts w:cs="Arial"/>
                <w:color w:val="000000"/>
                <w:sz w:val="20"/>
                <w:szCs w:val="20"/>
                <w:lang w:eastAsia="smn-FI"/>
              </w:rPr>
              <w:t>Третье лицо, кому причинен вред (включая посетителей Объекта, работников Заказчика, лиц, привлеченных Заказчиком для осуществления работ на Объекте).</w:t>
            </w:r>
          </w:p>
        </w:tc>
      </w:tr>
      <w:tr w:rsidR="00707FDC" w:rsidRPr="00707FDC" w:rsidTr="008D23BA">
        <w:tc>
          <w:tcPr>
            <w:tcW w:w="6062" w:type="dxa"/>
          </w:tcPr>
          <w:p w:rsidR="00707FDC" w:rsidRDefault="00707FDC" w:rsidP="00FA6D98">
            <w:pPr>
              <w:spacing w:before="0" w:after="0"/>
              <w:ind w:firstLine="0"/>
              <w:outlineLvl w:val="0"/>
              <w:rPr>
                <w:b/>
                <w:sz w:val="20"/>
                <w:szCs w:val="20"/>
              </w:rPr>
            </w:pPr>
            <w:r w:rsidRPr="00707FDC">
              <w:rPr>
                <w:b/>
                <w:sz w:val="20"/>
                <w:szCs w:val="20"/>
              </w:rPr>
              <w:t>Лица, риск ответственности которых за причинение вреда застрахован (Застрахованные лица)</w:t>
            </w:r>
          </w:p>
        </w:tc>
        <w:tc>
          <w:tcPr>
            <w:tcW w:w="9120" w:type="dxa"/>
          </w:tcPr>
          <w:p w:rsidR="00707FDC" w:rsidRPr="00BE5E65" w:rsidRDefault="00707FDC" w:rsidP="00707FDC">
            <w:pPr>
              <w:numPr>
                <w:ilvl w:val="0"/>
                <w:numId w:val="17"/>
              </w:numPr>
              <w:spacing w:before="0" w:line="264" w:lineRule="auto"/>
              <w:ind w:left="238" w:firstLine="0"/>
              <w:rPr>
                <w:rFonts w:cs="Arial"/>
                <w:color w:val="000000"/>
                <w:sz w:val="20"/>
                <w:szCs w:val="20"/>
                <w:lang w:eastAsia="smn-FI"/>
              </w:rPr>
            </w:pPr>
            <w:r w:rsidRPr="00BE5E65">
              <w:rPr>
                <w:rFonts w:cs="Arial"/>
                <w:color w:val="000000"/>
                <w:sz w:val="20"/>
                <w:szCs w:val="20"/>
                <w:lang w:eastAsia="smn-FI"/>
              </w:rPr>
              <w:t xml:space="preserve">Заказчик, </w:t>
            </w:r>
          </w:p>
          <w:p w:rsidR="00707FDC" w:rsidRPr="00707FDC" w:rsidRDefault="00707FDC" w:rsidP="00707FDC">
            <w:pPr>
              <w:numPr>
                <w:ilvl w:val="0"/>
                <w:numId w:val="17"/>
              </w:numPr>
              <w:spacing w:before="0" w:line="264" w:lineRule="auto"/>
              <w:ind w:left="238" w:firstLine="0"/>
              <w:rPr>
                <w:sz w:val="18"/>
                <w:szCs w:val="18"/>
              </w:rPr>
            </w:pPr>
            <w:r w:rsidRPr="00BE5E65">
              <w:rPr>
                <w:rFonts w:cs="Arial"/>
                <w:color w:val="000000"/>
                <w:sz w:val="20"/>
                <w:szCs w:val="20"/>
                <w:lang w:eastAsia="smn-FI"/>
              </w:rPr>
              <w:t>Оператор</w:t>
            </w:r>
          </w:p>
        </w:tc>
      </w:tr>
      <w:tr w:rsidR="008D23BA" w:rsidRPr="009C6935" w:rsidTr="00BB76C5">
        <w:trPr>
          <w:trHeight w:val="2376"/>
        </w:trPr>
        <w:tc>
          <w:tcPr>
            <w:tcW w:w="6062" w:type="dxa"/>
          </w:tcPr>
          <w:p w:rsidR="008D23BA" w:rsidRPr="00707FDC" w:rsidRDefault="00707FDC" w:rsidP="00FA6D98">
            <w:pPr>
              <w:spacing w:before="0" w:after="0"/>
              <w:ind w:firstLine="0"/>
              <w:outlineLvl w:val="0"/>
              <w:rPr>
                <w:b/>
                <w:sz w:val="20"/>
                <w:szCs w:val="20"/>
                <w:highlight w:val="yellow"/>
              </w:rPr>
            </w:pPr>
            <w:r w:rsidRPr="00707FDC">
              <w:rPr>
                <w:b/>
                <w:sz w:val="20"/>
                <w:szCs w:val="20"/>
              </w:rPr>
              <w:t>Лимит ответственности</w:t>
            </w:r>
          </w:p>
        </w:tc>
        <w:tc>
          <w:tcPr>
            <w:tcW w:w="9120" w:type="dxa"/>
          </w:tcPr>
          <w:p w:rsidR="00BB76C5" w:rsidRPr="00BB76C5" w:rsidRDefault="00BB76C5" w:rsidP="00BB76C5">
            <w:pPr>
              <w:pStyle w:val="10"/>
              <w:ind w:firstLine="720"/>
              <w:jc w:val="both"/>
              <w:rPr>
                <w:lang w:eastAsia="smn-FI"/>
              </w:rPr>
            </w:pPr>
            <w:r w:rsidRPr="00BB76C5">
              <w:rPr>
                <w:sz w:val="24"/>
                <w:szCs w:val="24"/>
              </w:rPr>
              <w:t>-</w:t>
            </w:r>
            <w:r w:rsidRPr="00BB76C5">
              <w:rPr>
                <w:lang w:eastAsia="smn-FI"/>
              </w:rPr>
              <w:t>Страховая сумма устанавливается Сторонами в размере рублевого эквивалента 2 000 000 (Двух миллионов) долларов США по каждому страховому случаю и совокупно за год.</w:t>
            </w:r>
          </w:p>
          <w:p w:rsidR="00BB76C5" w:rsidRPr="00BB76C5" w:rsidRDefault="00BB76C5" w:rsidP="00BB76C5">
            <w:pPr>
              <w:pStyle w:val="10"/>
              <w:ind w:firstLine="720"/>
              <w:jc w:val="both"/>
              <w:rPr>
                <w:lang w:eastAsia="smn-FI"/>
              </w:rPr>
            </w:pPr>
            <w:r w:rsidRPr="00BB76C5">
              <w:rPr>
                <w:lang w:eastAsia="smn-FI"/>
              </w:rPr>
              <w:t>По застрахованной деятельности в отношении объекта недвижимого имущества, указанного в пункте 6 и пункте 48 Приложения к ТЗ,  Страховая сумма устанавливается Сторонами в размере 30 000 000 (тридцать миллионов) долларов США по каждому страховому случаю и совокупно за год.</w:t>
            </w:r>
          </w:p>
          <w:p w:rsidR="00BB76C5" w:rsidRPr="00661782" w:rsidRDefault="00BB76C5" w:rsidP="00BB76C5">
            <w:pPr>
              <w:pStyle w:val="10"/>
              <w:ind w:firstLine="720"/>
              <w:jc w:val="both"/>
              <w:rPr>
                <w:lang w:eastAsia="smn-FI"/>
              </w:rPr>
            </w:pPr>
            <w:bookmarkStart w:id="12" w:name="_GoBack"/>
            <w:r w:rsidRPr="00661782">
              <w:rPr>
                <w:lang w:eastAsia="smn-FI"/>
              </w:rPr>
              <w:t>По застрахованной деятельности в отношении объекта недвижимого имущества, указанного в пункте 25 Приложения к ТЗ</w:t>
            </w:r>
            <w:r w:rsidR="00F83B2E" w:rsidRPr="00661782">
              <w:rPr>
                <w:lang w:eastAsia="smn-FI"/>
              </w:rPr>
              <w:t>,</w:t>
            </w:r>
            <w:r w:rsidRPr="00661782">
              <w:rPr>
                <w:lang w:eastAsia="smn-FI"/>
              </w:rPr>
              <w:t xml:space="preserve"> страховая сумма устанавливается Сторонами в размере рублевого эквивалента 2 000 000 (Двух миллионов) евро по каждому страховому случаю.</w:t>
            </w:r>
          </w:p>
          <w:bookmarkEnd w:id="12"/>
          <w:p w:rsidR="004D6314" w:rsidRPr="00BB76C5" w:rsidRDefault="00BB76C5" w:rsidP="00BB76C5">
            <w:pPr>
              <w:pStyle w:val="10"/>
              <w:ind w:firstLine="720"/>
              <w:jc w:val="both"/>
              <w:rPr>
                <w:lang w:eastAsia="smn-FI"/>
              </w:rPr>
            </w:pPr>
            <w:r w:rsidRPr="00BB76C5">
              <w:rPr>
                <w:lang w:eastAsia="smn-FI"/>
              </w:rPr>
              <w:t>-Лимит ответственности в отношении террористического акта составляет 4 000 000 (Четыре миллиона) долларов США.</w:t>
            </w:r>
          </w:p>
        </w:tc>
      </w:tr>
      <w:tr w:rsidR="00707FDC" w:rsidRPr="009C6935" w:rsidTr="008D23BA">
        <w:tc>
          <w:tcPr>
            <w:tcW w:w="6062" w:type="dxa"/>
          </w:tcPr>
          <w:p w:rsidR="00707FDC" w:rsidRPr="00D149BD" w:rsidRDefault="00707FDC" w:rsidP="00FA6D98">
            <w:pPr>
              <w:spacing w:before="0" w:after="0"/>
              <w:ind w:firstLine="0"/>
              <w:outlineLvl w:val="0"/>
              <w:rPr>
                <w:b/>
                <w:sz w:val="20"/>
                <w:szCs w:val="20"/>
                <w:lang w:val="en-US"/>
              </w:rPr>
            </w:pPr>
            <w:proofErr w:type="spellStart"/>
            <w:r w:rsidRPr="00D149BD">
              <w:rPr>
                <w:b/>
                <w:sz w:val="20"/>
                <w:szCs w:val="20"/>
                <w:lang w:val="en-US"/>
              </w:rPr>
              <w:t>Застрахованная</w:t>
            </w:r>
            <w:proofErr w:type="spellEnd"/>
            <w:r w:rsidRPr="00D149BD">
              <w:rPr>
                <w:b/>
                <w:sz w:val="20"/>
                <w:szCs w:val="20"/>
                <w:lang w:val="en-US"/>
              </w:rPr>
              <w:t xml:space="preserve"> </w:t>
            </w:r>
            <w:proofErr w:type="spellStart"/>
            <w:r w:rsidRPr="00D149BD">
              <w:rPr>
                <w:b/>
                <w:sz w:val="20"/>
                <w:szCs w:val="20"/>
                <w:lang w:val="en-US"/>
              </w:rPr>
              <w:t>деятельность</w:t>
            </w:r>
            <w:proofErr w:type="spellEnd"/>
          </w:p>
        </w:tc>
        <w:tc>
          <w:tcPr>
            <w:tcW w:w="9120" w:type="dxa"/>
          </w:tcPr>
          <w:p w:rsidR="00707FDC" w:rsidRPr="00D149BD" w:rsidRDefault="00707FDC" w:rsidP="00707FDC">
            <w:pPr>
              <w:spacing w:before="0" w:after="0"/>
              <w:ind w:firstLine="0"/>
              <w:outlineLvl w:val="0"/>
              <w:rPr>
                <w:sz w:val="20"/>
                <w:szCs w:val="20"/>
              </w:rPr>
            </w:pPr>
            <w:r w:rsidRPr="00D149BD">
              <w:rPr>
                <w:sz w:val="20"/>
                <w:szCs w:val="20"/>
              </w:rPr>
              <w:t>Следующие виды деятельности должны быть указаны в договоре страхования в качестве застрахованной деятельности:</w:t>
            </w:r>
          </w:p>
          <w:p w:rsidR="00707FDC" w:rsidRPr="00D149BD" w:rsidRDefault="00707FDC" w:rsidP="00707FDC">
            <w:pPr>
              <w:pStyle w:val="a6"/>
              <w:numPr>
                <w:ilvl w:val="0"/>
                <w:numId w:val="18"/>
              </w:numPr>
              <w:spacing w:before="0" w:after="0"/>
              <w:ind w:left="328"/>
              <w:outlineLvl w:val="0"/>
              <w:rPr>
                <w:sz w:val="20"/>
                <w:szCs w:val="20"/>
              </w:rPr>
            </w:pPr>
            <w:r w:rsidRPr="00D149BD">
              <w:rPr>
                <w:sz w:val="20"/>
                <w:szCs w:val="20"/>
              </w:rPr>
              <w:t>гостиничная и санаторно-курортная деятельность;</w:t>
            </w:r>
          </w:p>
          <w:p w:rsidR="00707FDC" w:rsidRPr="00D149BD" w:rsidRDefault="00707FDC" w:rsidP="00707FDC">
            <w:pPr>
              <w:pStyle w:val="a6"/>
              <w:numPr>
                <w:ilvl w:val="0"/>
                <w:numId w:val="18"/>
              </w:numPr>
              <w:spacing w:before="0" w:after="0"/>
              <w:ind w:left="328"/>
              <w:outlineLvl w:val="0"/>
              <w:rPr>
                <w:sz w:val="20"/>
                <w:szCs w:val="20"/>
              </w:rPr>
            </w:pPr>
            <w:r w:rsidRPr="00D149BD">
              <w:rPr>
                <w:sz w:val="20"/>
                <w:szCs w:val="20"/>
              </w:rPr>
              <w:t>ресторанная деятельность и услуги общественного питания;</w:t>
            </w:r>
          </w:p>
          <w:p w:rsidR="00707FDC" w:rsidRPr="00D149BD" w:rsidRDefault="00707FDC" w:rsidP="00707FDC">
            <w:pPr>
              <w:pStyle w:val="a6"/>
              <w:numPr>
                <w:ilvl w:val="0"/>
                <w:numId w:val="18"/>
              </w:numPr>
              <w:spacing w:before="0" w:after="0"/>
              <w:ind w:left="328"/>
              <w:outlineLvl w:val="0"/>
              <w:rPr>
                <w:sz w:val="20"/>
                <w:szCs w:val="20"/>
              </w:rPr>
            </w:pPr>
            <w:r w:rsidRPr="00D149BD">
              <w:rPr>
                <w:sz w:val="20"/>
                <w:szCs w:val="20"/>
              </w:rPr>
              <w:t>оказание спортивных услуг (тренажёрные залы, бассейны и т. д.), услуги по распространению рекламы, в том числе наружной, организация парковок и иных стоянок в пределах территории страхования;</w:t>
            </w:r>
          </w:p>
          <w:p w:rsidR="00707FDC" w:rsidRPr="00D149BD" w:rsidRDefault="00707FDC" w:rsidP="00707FDC">
            <w:pPr>
              <w:pStyle w:val="a6"/>
              <w:numPr>
                <w:ilvl w:val="0"/>
                <w:numId w:val="18"/>
              </w:numPr>
              <w:spacing w:before="0" w:after="0"/>
              <w:ind w:left="328"/>
              <w:outlineLvl w:val="0"/>
              <w:rPr>
                <w:sz w:val="20"/>
                <w:szCs w:val="20"/>
              </w:rPr>
            </w:pPr>
            <w:r w:rsidRPr="00D149BD">
              <w:rPr>
                <w:sz w:val="20"/>
                <w:szCs w:val="20"/>
              </w:rPr>
              <w:t>сдача в аренду застрахованного имущества;</w:t>
            </w:r>
          </w:p>
          <w:p w:rsidR="00707FDC" w:rsidRPr="00D149BD" w:rsidRDefault="00707FDC" w:rsidP="00707FDC">
            <w:pPr>
              <w:pStyle w:val="a6"/>
              <w:numPr>
                <w:ilvl w:val="0"/>
                <w:numId w:val="18"/>
              </w:numPr>
              <w:spacing w:before="0" w:after="0"/>
              <w:ind w:left="328"/>
              <w:outlineLvl w:val="0"/>
              <w:rPr>
                <w:sz w:val="20"/>
                <w:szCs w:val="20"/>
              </w:rPr>
            </w:pPr>
            <w:r w:rsidRPr="00D149BD">
              <w:rPr>
                <w:sz w:val="20"/>
                <w:szCs w:val="20"/>
              </w:rPr>
              <w:t>эксплуатация застрахованного имущества, включая здания, сооружения, жилые, нежилые помещения, и прилегающую территорию;</w:t>
            </w:r>
          </w:p>
          <w:p w:rsidR="00707FDC" w:rsidRPr="00D149BD" w:rsidRDefault="00707FDC" w:rsidP="00707FDC">
            <w:pPr>
              <w:pStyle w:val="a6"/>
              <w:numPr>
                <w:ilvl w:val="0"/>
                <w:numId w:val="18"/>
              </w:numPr>
              <w:spacing w:before="0" w:after="0"/>
              <w:ind w:left="328"/>
              <w:outlineLvl w:val="0"/>
              <w:rPr>
                <w:sz w:val="20"/>
                <w:szCs w:val="20"/>
              </w:rPr>
            </w:pPr>
            <w:r w:rsidRPr="00D149BD">
              <w:rPr>
                <w:sz w:val="20"/>
                <w:szCs w:val="20"/>
              </w:rPr>
              <w:t>оказание всего комплекса услуг для лиц, проживающих или находящихся в гостинице;</w:t>
            </w:r>
          </w:p>
          <w:p w:rsidR="00707FDC" w:rsidRPr="00D149BD" w:rsidRDefault="00707FDC" w:rsidP="00707FDC">
            <w:pPr>
              <w:pStyle w:val="a6"/>
              <w:numPr>
                <w:ilvl w:val="0"/>
                <w:numId w:val="18"/>
              </w:numPr>
              <w:spacing w:before="0" w:after="0"/>
              <w:ind w:left="328"/>
              <w:outlineLvl w:val="0"/>
              <w:rPr>
                <w:sz w:val="20"/>
                <w:szCs w:val="20"/>
              </w:rPr>
            </w:pPr>
            <w:r w:rsidRPr="00D149BD">
              <w:rPr>
                <w:sz w:val="20"/>
                <w:szCs w:val="20"/>
              </w:rPr>
              <w:t xml:space="preserve">проведение Некапитальных Работ, включая "горячие работы" (напр., сварку); </w:t>
            </w:r>
          </w:p>
          <w:p w:rsidR="00707FDC" w:rsidRPr="00D149BD" w:rsidRDefault="00707FDC" w:rsidP="00707FDC">
            <w:pPr>
              <w:pStyle w:val="a6"/>
              <w:numPr>
                <w:ilvl w:val="0"/>
                <w:numId w:val="18"/>
              </w:numPr>
              <w:spacing w:before="0" w:after="0"/>
              <w:ind w:left="328"/>
              <w:outlineLvl w:val="0"/>
              <w:rPr>
                <w:sz w:val="20"/>
                <w:szCs w:val="20"/>
              </w:rPr>
            </w:pPr>
            <w:r w:rsidRPr="00D149BD">
              <w:rPr>
                <w:sz w:val="20"/>
                <w:szCs w:val="20"/>
              </w:rPr>
              <w:t xml:space="preserve">оказание услуг по эксплуатации и техническому обслуживанию парковки, включая мойку транспортных средств, </w:t>
            </w:r>
          </w:p>
          <w:p w:rsidR="00707FDC" w:rsidRPr="00D149BD" w:rsidRDefault="00707FDC" w:rsidP="00707FDC">
            <w:pPr>
              <w:pStyle w:val="a6"/>
              <w:numPr>
                <w:ilvl w:val="0"/>
                <w:numId w:val="18"/>
              </w:numPr>
              <w:spacing w:before="0" w:after="0"/>
              <w:ind w:left="328"/>
              <w:outlineLvl w:val="0"/>
              <w:rPr>
                <w:b/>
                <w:sz w:val="20"/>
                <w:szCs w:val="20"/>
              </w:rPr>
            </w:pPr>
            <w:r w:rsidRPr="00D149BD">
              <w:rPr>
                <w:sz w:val="20"/>
                <w:szCs w:val="20"/>
              </w:rPr>
              <w:t>иная деятельность, не запрещённая законодательством РФ, в рамках Устава и фактической деятельности Заказчика.</w:t>
            </w:r>
          </w:p>
        </w:tc>
      </w:tr>
      <w:tr w:rsidR="00707FDC" w:rsidRPr="009C6935" w:rsidTr="008D23BA">
        <w:tc>
          <w:tcPr>
            <w:tcW w:w="6062" w:type="dxa"/>
          </w:tcPr>
          <w:p w:rsidR="00707FDC" w:rsidRPr="00707FDC" w:rsidRDefault="00707FDC" w:rsidP="00707FDC">
            <w:pPr>
              <w:spacing w:line="264" w:lineRule="auto"/>
              <w:ind w:firstLine="0"/>
              <w:rPr>
                <w:b/>
                <w:sz w:val="20"/>
                <w:szCs w:val="20"/>
                <w:lang w:val="en-US"/>
              </w:rPr>
            </w:pPr>
            <w:proofErr w:type="spellStart"/>
            <w:r w:rsidRPr="00707FDC">
              <w:rPr>
                <w:b/>
                <w:sz w:val="20"/>
                <w:szCs w:val="20"/>
                <w:lang w:val="en-US"/>
              </w:rPr>
              <w:t>Страховой</w:t>
            </w:r>
            <w:proofErr w:type="spellEnd"/>
            <w:r w:rsidRPr="00707FDC">
              <w:rPr>
                <w:b/>
                <w:sz w:val="20"/>
                <w:szCs w:val="20"/>
                <w:lang w:val="en-US"/>
              </w:rPr>
              <w:t xml:space="preserve"> </w:t>
            </w:r>
            <w:proofErr w:type="spellStart"/>
            <w:r w:rsidRPr="00707FDC">
              <w:rPr>
                <w:b/>
                <w:sz w:val="20"/>
                <w:szCs w:val="20"/>
                <w:lang w:val="en-US"/>
              </w:rPr>
              <w:t>случай</w:t>
            </w:r>
            <w:proofErr w:type="spellEnd"/>
          </w:p>
        </w:tc>
        <w:tc>
          <w:tcPr>
            <w:tcW w:w="9120" w:type="dxa"/>
          </w:tcPr>
          <w:p w:rsidR="00707FDC" w:rsidRPr="00707FDC" w:rsidRDefault="00707FDC" w:rsidP="00707FDC">
            <w:pPr>
              <w:widowControl w:val="0"/>
              <w:spacing w:line="264" w:lineRule="auto"/>
              <w:ind w:left="58" w:firstLine="270"/>
              <w:rPr>
                <w:rFonts w:cs="Arial"/>
                <w:color w:val="000000"/>
                <w:sz w:val="20"/>
                <w:lang w:eastAsia="smn-FI"/>
              </w:rPr>
            </w:pPr>
            <w:r w:rsidRPr="00707FDC">
              <w:rPr>
                <w:rFonts w:cs="Arial"/>
                <w:color w:val="000000"/>
                <w:sz w:val="20"/>
                <w:lang w:eastAsia="smn-FI"/>
              </w:rPr>
              <w:t>Страховым случаем является совершившееся в период действия договора страхование событие, которое является основанием, в соответствии с нормами гражданского законодательства, для предъявления третьими лицами требований к Застрахованным Лицам, по:</w:t>
            </w:r>
          </w:p>
          <w:p w:rsidR="00707FDC" w:rsidRPr="00707FDC" w:rsidRDefault="00707FDC" w:rsidP="00707FDC">
            <w:pPr>
              <w:widowControl w:val="0"/>
              <w:numPr>
                <w:ilvl w:val="0"/>
                <w:numId w:val="19"/>
              </w:numPr>
              <w:tabs>
                <w:tab w:val="left" w:pos="508"/>
              </w:tabs>
              <w:spacing w:before="0" w:after="60" w:line="264" w:lineRule="auto"/>
              <w:ind w:left="58" w:firstLine="270"/>
              <w:rPr>
                <w:rFonts w:cs="Arial"/>
                <w:color w:val="000000"/>
                <w:sz w:val="20"/>
                <w:lang w:eastAsia="smn-FI"/>
              </w:rPr>
            </w:pPr>
            <w:r w:rsidRPr="00707FDC">
              <w:rPr>
                <w:rFonts w:cs="Arial"/>
                <w:color w:val="000000"/>
                <w:sz w:val="20"/>
                <w:lang w:eastAsia="smn-FI"/>
              </w:rPr>
              <w:t>возмещению  нанесённого вреда их жизни и/или здоровью;</w:t>
            </w:r>
          </w:p>
          <w:p w:rsidR="00707FDC" w:rsidRPr="00707FDC" w:rsidRDefault="00707FDC" w:rsidP="00707FDC">
            <w:pPr>
              <w:widowControl w:val="0"/>
              <w:numPr>
                <w:ilvl w:val="0"/>
                <w:numId w:val="19"/>
              </w:numPr>
              <w:tabs>
                <w:tab w:val="left" w:pos="508"/>
              </w:tabs>
              <w:spacing w:before="0" w:after="60" w:line="264" w:lineRule="auto"/>
              <w:ind w:left="58" w:firstLine="270"/>
              <w:rPr>
                <w:rFonts w:cs="Arial"/>
                <w:color w:val="000000"/>
                <w:sz w:val="20"/>
                <w:lang w:eastAsia="smn-FI"/>
              </w:rPr>
            </w:pPr>
            <w:r w:rsidRPr="00707FDC">
              <w:rPr>
                <w:rFonts w:cs="Arial"/>
                <w:color w:val="000000"/>
                <w:sz w:val="20"/>
                <w:lang w:eastAsia="smn-FI"/>
              </w:rPr>
              <w:t xml:space="preserve">компенсации морального вреда, непосредственной причиной которого стало причинение или </w:t>
            </w:r>
            <w:r w:rsidRPr="00707FDC">
              <w:rPr>
                <w:rFonts w:cs="Arial"/>
                <w:color w:val="000000"/>
                <w:sz w:val="20"/>
                <w:lang w:eastAsia="smn-FI"/>
              </w:rPr>
              <w:lastRenderedPageBreak/>
              <w:t>угроза причинения такого вреда их жизни или здоровью (но только на основании судебного решения);</w:t>
            </w:r>
          </w:p>
          <w:p w:rsidR="00707FDC" w:rsidRPr="00707FDC" w:rsidRDefault="00707FDC" w:rsidP="00707FDC">
            <w:pPr>
              <w:widowControl w:val="0"/>
              <w:numPr>
                <w:ilvl w:val="0"/>
                <w:numId w:val="19"/>
              </w:numPr>
              <w:tabs>
                <w:tab w:val="left" w:pos="508"/>
              </w:tabs>
              <w:spacing w:before="0" w:after="60" w:line="264" w:lineRule="auto"/>
              <w:ind w:left="58" w:firstLine="270"/>
              <w:rPr>
                <w:rFonts w:cs="Arial"/>
                <w:color w:val="000000"/>
                <w:sz w:val="20"/>
                <w:lang w:eastAsia="smn-FI"/>
              </w:rPr>
            </w:pPr>
            <w:r w:rsidRPr="00707FDC">
              <w:rPr>
                <w:rFonts w:cs="Arial"/>
                <w:color w:val="000000"/>
                <w:sz w:val="20"/>
                <w:lang w:eastAsia="smn-FI"/>
              </w:rPr>
              <w:t>возмещению причинённого ущерба (включая потерю или утерю) их имуществу,</w:t>
            </w:r>
          </w:p>
          <w:p w:rsidR="00707FDC" w:rsidRPr="00707FDC" w:rsidRDefault="00707FDC" w:rsidP="00707FDC">
            <w:pPr>
              <w:widowControl w:val="0"/>
              <w:numPr>
                <w:ilvl w:val="0"/>
                <w:numId w:val="19"/>
              </w:numPr>
              <w:tabs>
                <w:tab w:val="left" w:pos="508"/>
              </w:tabs>
              <w:spacing w:before="0" w:after="60" w:line="264" w:lineRule="auto"/>
              <w:ind w:left="58" w:firstLine="270"/>
              <w:rPr>
                <w:rFonts w:cs="Arial"/>
                <w:color w:val="000000"/>
                <w:sz w:val="20"/>
                <w:lang w:eastAsia="smn-FI"/>
              </w:rPr>
            </w:pPr>
            <w:r w:rsidRPr="00707FDC">
              <w:rPr>
                <w:rFonts w:cs="Arial"/>
                <w:color w:val="000000"/>
                <w:sz w:val="20"/>
                <w:lang w:eastAsia="smn-FI"/>
              </w:rPr>
              <w:t>возмещению убытков в виде реального ущерба (расходы, которые лицо, чьё право нарушено, произвело или должно будет произвести для восстановления нарушенного права) и упущенной выгоды (неполученные доходы, которые лицо, чьё право нарушено, получило бы при обычных условиях гражданского оборота, если бы его право не было нарушено), непосредственной причиной которых стало причинение такого вреда их имуществу;</w:t>
            </w:r>
          </w:p>
          <w:p w:rsidR="00707FDC" w:rsidRPr="00707FDC" w:rsidRDefault="00707FDC" w:rsidP="00420F8C">
            <w:pPr>
              <w:widowControl w:val="0"/>
              <w:numPr>
                <w:ilvl w:val="0"/>
                <w:numId w:val="19"/>
              </w:numPr>
              <w:tabs>
                <w:tab w:val="left" w:pos="508"/>
              </w:tabs>
              <w:spacing w:before="0" w:after="60" w:line="264" w:lineRule="auto"/>
              <w:ind w:left="58" w:firstLine="270"/>
              <w:rPr>
                <w:sz w:val="20"/>
                <w:szCs w:val="20"/>
              </w:rPr>
            </w:pPr>
            <w:r w:rsidRPr="00707FDC">
              <w:rPr>
                <w:rFonts w:cs="Arial"/>
                <w:color w:val="000000"/>
                <w:sz w:val="20"/>
                <w:lang w:eastAsia="smn-FI"/>
              </w:rPr>
              <w:t>компенсации ущерба сверх выплат, которые должны быть произведены в рамках страхования ответственности за причинение вреда личности или имуществу юридического лица вследствие разрушения, повреждения здания, сооружения либо части здания или сооружения, нарушения требований к обеспечению безопасной эксплуатации здания, сооружения, если Заказчик не докажет, что указанные разрушение, повреждение, нарушение возникли вследствие умысла потерпевшего, действий третьих лиц или чрезвычайного и непредотвратимого при данных условиях обстоятельства (непреодолимой силы) в соответствии со статьей 60 Градостроительного кодекса РФ</w:t>
            </w:r>
          </w:p>
        </w:tc>
      </w:tr>
      <w:tr w:rsidR="00707FDC" w:rsidRPr="009C6935" w:rsidTr="008D23BA">
        <w:tc>
          <w:tcPr>
            <w:tcW w:w="6062" w:type="dxa"/>
          </w:tcPr>
          <w:p w:rsidR="00707FDC" w:rsidRPr="00707FDC" w:rsidRDefault="00707FDC" w:rsidP="00707FDC">
            <w:pPr>
              <w:spacing w:before="0" w:after="0"/>
              <w:ind w:firstLine="0"/>
              <w:outlineLvl w:val="0"/>
              <w:rPr>
                <w:b/>
                <w:sz w:val="20"/>
                <w:szCs w:val="20"/>
                <w:lang w:val="en-US"/>
              </w:rPr>
            </w:pPr>
            <w:bookmarkStart w:id="13" w:name="_Toc354565918"/>
            <w:bookmarkStart w:id="14" w:name="_Toc354566522"/>
            <w:proofErr w:type="spellStart"/>
            <w:r w:rsidRPr="00707FDC">
              <w:rPr>
                <w:b/>
                <w:sz w:val="20"/>
                <w:szCs w:val="20"/>
                <w:lang w:val="en-US"/>
              </w:rPr>
              <w:lastRenderedPageBreak/>
              <w:t>Объем</w:t>
            </w:r>
            <w:proofErr w:type="spellEnd"/>
            <w:r w:rsidRPr="00707FDC">
              <w:rPr>
                <w:b/>
                <w:sz w:val="20"/>
                <w:szCs w:val="20"/>
                <w:lang w:val="en-US"/>
              </w:rPr>
              <w:t xml:space="preserve"> </w:t>
            </w:r>
            <w:proofErr w:type="spellStart"/>
            <w:r w:rsidRPr="00707FDC">
              <w:rPr>
                <w:b/>
                <w:sz w:val="20"/>
                <w:szCs w:val="20"/>
                <w:lang w:val="en-US"/>
              </w:rPr>
              <w:t>страховой</w:t>
            </w:r>
            <w:proofErr w:type="spellEnd"/>
            <w:r w:rsidRPr="00707FDC">
              <w:rPr>
                <w:b/>
                <w:sz w:val="20"/>
                <w:szCs w:val="20"/>
                <w:lang w:val="en-US"/>
              </w:rPr>
              <w:t xml:space="preserve"> </w:t>
            </w:r>
            <w:proofErr w:type="spellStart"/>
            <w:r w:rsidRPr="00707FDC">
              <w:rPr>
                <w:b/>
                <w:sz w:val="20"/>
                <w:szCs w:val="20"/>
                <w:lang w:val="en-US"/>
              </w:rPr>
              <w:t>защиты</w:t>
            </w:r>
            <w:bookmarkEnd w:id="13"/>
            <w:bookmarkEnd w:id="14"/>
            <w:proofErr w:type="spellEnd"/>
          </w:p>
        </w:tc>
        <w:tc>
          <w:tcPr>
            <w:tcW w:w="9120" w:type="dxa"/>
          </w:tcPr>
          <w:p w:rsidR="00707FDC" w:rsidRPr="00707FDC" w:rsidRDefault="00707FDC" w:rsidP="00707FDC">
            <w:pPr>
              <w:ind w:left="148" w:firstLine="180"/>
              <w:rPr>
                <w:color w:val="000000"/>
                <w:sz w:val="20"/>
                <w:szCs w:val="20"/>
                <w:lang w:eastAsia="smn-FI"/>
              </w:rPr>
            </w:pPr>
            <w:r w:rsidRPr="00707FDC">
              <w:rPr>
                <w:color w:val="000000"/>
                <w:sz w:val="20"/>
                <w:szCs w:val="20"/>
                <w:lang w:eastAsia="smn-FI"/>
              </w:rPr>
              <w:t>Заключенный договор страхования ответственности должен предоставлять защиту в отношении следующих видов ответственности:</w:t>
            </w:r>
          </w:p>
          <w:p w:rsidR="00707FDC" w:rsidRPr="00707FDC" w:rsidRDefault="00707FDC" w:rsidP="00707FDC">
            <w:pPr>
              <w:numPr>
                <w:ilvl w:val="0"/>
                <w:numId w:val="20"/>
              </w:numPr>
              <w:spacing w:before="0"/>
              <w:ind w:left="148" w:firstLine="180"/>
              <w:rPr>
                <w:color w:val="000000"/>
                <w:sz w:val="20"/>
                <w:szCs w:val="20"/>
                <w:lang w:eastAsia="smn-FI"/>
              </w:rPr>
            </w:pPr>
            <w:r w:rsidRPr="00707FDC">
              <w:rPr>
                <w:color w:val="000000"/>
                <w:sz w:val="20"/>
                <w:szCs w:val="20"/>
                <w:lang w:eastAsia="smn-FI"/>
              </w:rPr>
              <w:t>общегражданская ответственность;</w:t>
            </w:r>
          </w:p>
          <w:p w:rsidR="00707FDC" w:rsidRPr="00707FDC" w:rsidRDefault="00707FDC" w:rsidP="00707FDC">
            <w:pPr>
              <w:numPr>
                <w:ilvl w:val="0"/>
                <w:numId w:val="20"/>
              </w:numPr>
              <w:spacing w:before="0"/>
              <w:ind w:left="148" w:firstLine="180"/>
              <w:rPr>
                <w:color w:val="000000"/>
                <w:sz w:val="20"/>
                <w:szCs w:val="20"/>
                <w:lang w:eastAsia="smn-FI"/>
              </w:rPr>
            </w:pPr>
            <w:r w:rsidRPr="00707FDC">
              <w:rPr>
                <w:color w:val="000000"/>
                <w:sz w:val="20"/>
                <w:szCs w:val="20"/>
                <w:lang w:eastAsia="smn-FI"/>
              </w:rPr>
              <w:t>ответственность за качество продукции, работ и услуг;</w:t>
            </w:r>
          </w:p>
          <w:p w:rsidR="00707FDC" w:rsidRPr="00707FDC" w:rsidRDefault="00707FDC" w:rsidP="00707FDC">
            <w:pPr>
              <w:numPr>
                <w:ilvl w:val="0"/>
                <w:numId w:val="20"/>
              </w:numPr>
              <w:spacing w:before="0"/>
              <w:ind w:left="148" w:firstLine="180"/>
              <w:rPr>
                <w:color w:val="000000"/>
                <w:sz w:val="20"/>
                <w:szCs w:val="20"/>
                <w:lang w:eastAsia="smn-FI"/>
              </w:rPr>
            </w:pPr>
            <w:r w:rsidRPr="00707FDC">
              <w:rPr>
                <w:color w:val="000000"/>
                <w:sz w:val="20"/>
                <w:szCs w:val="20"/>
                <w:lang w:eastAsia="smn-FI"/>
              </w:rPr>
              <w:t>ответственность работодателя.</w:t>
            </w:r>
          </w:p>
        </w:tc>
      </w:tr>
      <w:tr w:rsidR="00707FDC" w:rsidRPr="009C6935" w:rsidTr="008D23BA">
        <w:tc>
          <w:tcPr>
            <w:tcW w:w="6062" w:type="dxa"/>
          </w:tcPr>
          <w:p w:rsidR="00707FDC" w:rsidRPr="00707FDC" w:rsidRDefault="00707FDC" w:rsidP="00707FDC">
            <w:pPr>
              <w:spacing w:before="0" w:after="0"/>
              <w:ind w:firstLine="0"/>
              <w:outlineLvl w:val="0"/>
              <w:rPr>
                <w:b/>
                <w:sz w:val="20"/>
                <w:szCs w:val="20"/>
                <w:lang w:val="en-US"/>
              </w:rPr>
            </w:pPr>
            <w:bookmarkStart w:id="15" w:name="_Toc332642122"/>
            <w:bookmarkStart w:id="16" w:name="_Toc333933132"/>
            <w:bookmarkStart w:id="17" w:name="_Toc336625394"/>
            <w:bookmarkStart w:id="18" w:name="_Toc343078059"/>
            <w:bookmarkStart w:id="19" w:name="_Toc343079045"/>
            <w:bookmarkStart w:id="20" w:name="_Toc354565920"/>
            <w:bookmarkStart w:id="21" w:name="_Toc354566524"/>
            <w:proofErr w:type="spellStart"/>
            <w:r w:rsidRPr="00707FDC">
              <w:rPr>
                <w:b/>
                <w:sz w:val="20"/>
                <w:szCs w:val="20"/>
                <w:lang w:val="en-US"/>
              </w:rPr>
              <w:t>Юрисдикция</w:t>
            </w:r>
            <w:bookmarkEnd w:id="15"/>
            <w:bookmarkEnd w:id="16"/>
            <w:bookmarkEnd w:id="17"/>
            <w:bookmarkEnd w:id="18"/>
            <w:bookmarkEnd w:id="19"/>
            <w:bookmarkEnd w:id="20"/>
            <w:bookmarkEnd w:id="21"/>
            <w:proofErr w:type="spellEnd"/>
          </w:p>
          <w:p w:rsidR="00707FDC" w:rsidRPr="00707FDC" w:rsidRDefault="00707FDC" w:rsidP="00707FDC">
            <w:pPr>
              <w:spacing w:before="0" w:after="0"/>
              <w:ind w:firstLine="0"/>
              <w:outlineLvl w:val="0"/>
              <w:rPr>
                <w:b/>
                <w:sz w:val="20"/>
                <w:szCs w:val="20"/>
                <w:lang w:val="en-US"/>
              </w:rPr>
            </w:pPr>
          </w:p>
        </w:tc>
        <w:tc>
          <w:tcPr>
            <w:tcW w:w="9120" w:type="dxa"/>
          </w:tcPr>
          <w:p w:rsidR="00707FDC" w:rsidRPr="00707FDC" w:rsidRDefault="00707FDC" w:rsidP="00707FDC">
            <w:pPr>
              <w:ind w:left="148" w:firstLine="180"/>
              <w:rPr>
                <w:color w:val="000000"/>
                <w:sz w:val="20"/>
                <w:szCs w:val="20"/>
                <w:lang w:eastAsia="smn-FI"/>
              </w:rPr>
            </w:pPr>
            <w:r w:rsidRPr="00707FDC">
              <w:rPr>
                <w:color w:val="000000"/>
                <w:sz w:val="20"/>
                <w:szCs w:val="20"/>
                <w:lang w:eastAsia="smn-FI"/>
              </w:rPr>
              <w:t>Весь мир. Договором страхования должны покрываться:</w:t>
            </w:r>
          </w:p>
          <w:p w:rsidR="00707FDC" w:rsidRPr="00707FDC" w:rsidRDefault="00707FDC" w:rsidP="00707FDC">
            <w:pPr>
              <w:spacing w:after="60"/>
              <w:ind w:left="148" w:firstLine="180"/>
              <w:rPr>
                <w:color w:val="000000"/>
                <w:sz w:val="20"/>
                <w:szCs w:val="20"/>
                <w:lang w:eastAsia="smn-FI"/>
              </w:rPr>
            </w:pPr>
            <w:r w:rsidRPr="00707FDC">
              <w:rPr>
                <w:color w:val="000000"/>
                <w:sz w:val="20"/>
                <w:szCs w:val="20"/>
                <w:lang w:eastAsia="smn-FI"/>
              </w:rPr>
              <w:t>а) иски, исковые или судебные требования о возмещении или компенсации причиненного вреда, поданные или инициированные за пределами Российской Федерации;</w:t>
            </w:r>
          </w:p>
          <w:p w:rsidR="00707FDC" w:rsidRPr="00707FDC" w:rsidRDefault="00707FDC" w:rsidP="00707FDC">
            <w:pPr>
              <w:spacing w:after="60"/>
              <w:ind w:left="148" w:firstLine="180"/>
              <w:rPr>
                <w:color w:val="000000"/>
                <w:sz w:val="20"/>
                <w:szCs w:val="20"/>
                <w:lang w:eastAsia="smn-FI"/>
              </w:rPr>
            </w:pPr>
            <w:r w:rsidRPr="00707FDC">
              <w:rPr>
                <w:color w:val="000000"/>
                <w:sz w:val="20"/>
                <w:szCs w:val="20"/>
                <w:lang w:eastAsia="smn-FI"/>
              </w:rPr>
              <w:t>б) судебные постановления или определения о принудительном исполнении решения судов, находящихся за пределами территории Российской Федерации.</w:t>
            </w:r>
          </w:p>
        </w:tc>
      </w:tr>
      <w:tr w:rsidR="008D23BA" w:rsidRPr="009C6935" w:rsidTr="008D23BA">
        <w:tc>
          <w:tcPr>
            <w:tcW w:w="6062" w:type="dxa"/>
          </w:tcPr>
          <w:p w:rsidR="008D23BA" w:rsidRPr="00707FDC" w:rsidRDefault="008D23BA" w:rsidP="00707FDC">
            <w:pPr>
              <w:spacing w:before="0" w:after="0"/>
              <w:ind w:firstLine="0"/>
              <w:outlineLvl w:val="0"/>
              <w:rPr>
                <w:b/>
                <w:sz w:val="20"/>
                <w:szCs w:val="20"/>
                <w:highlight w:val="yellow"/>
                <w:lang w:val="en-US"/>
              </w:rPr>
            </w:pPr>
            <w:proofErr w:type="spellStart"/>
            <w:r w:rsidRPr="00707FDC">
              <w:rPr>
                <w:b/>
                <w:sz w:val="20"/>
                <w:szCs w:val="20"/>
                <w:lang w:val="en-US"/>
              </w:rPr>
              <w:t>Франшиза</w:t>
            </w:r>
            <w:proofErr w:type="spellEnd"/>
          </w:p>
        </w:tc>
        <w:tc>
          <w:tcPr>
            <w:tcW w:w="9120" w:type="dxa"/>
          </w:tcPr>
          <w:p w:rsidR="008D23BA" w:rsidRPr="00707FDC" w:rsidRDefault="00707FDC" w:rsidP="00707FDC">
            <w:pPr>
              <w:spacing w:before="0" w:after="0"/>
              <w:ind w:firstLine="0"/>
              <w:outlineLvl w:val="0"/>
              <w:rPr>
                <w:b/>
                <w:sz w:val="20"/>
                <w:szCs w:val="20"/>
                <w:highlight w:val="yellow"/>
              </w:rPr>
            </w:pPr>
            <w:r w:rsidRPr="00707FDC">
              <w:rPr>
                <w:color w:val="000000"/>
                <w:sz w:val="20"/>
                <w:szCs w:val="20"/>
                <w:lang w:eastAsia="smn-FI"/>
              </w:rPr>
              <w:t>в размере не более рублевого эквивалента 5 000,00 (пяти тысяч) долларов США только в отношении вреда имуществу третьих лиц. В отношении вреда жизни и здоровью третьих лиц франшиза не устанавливается.</w:t>
            </w:r>
          </w:p>
        </w:tc>
      </w:tr>
      <w:tr w:rsidR="00707FDC" w:rsidRPr="009C6935" w:rsidTr="008D23BA">
        <w:tc>
          <w:tcPr>
            <w:tcW w:w="6062" w:type="dxa"/>
          </w:tcPr>
          <w:p w:rsidR="00707FDC" w:rsidRPr="009B1D85" w:rsidRDefault="00707FDC" w:rsidP="009B1D85">
            <w:pPr>
              <w:spacing w:before="0" w:after="0"/>
              <w:ind w:firstLine="0"/>
              <w:outlineLvl w:val="0"/>
              <w:rPr>
                <w:b/>
                <w:sz w:val="20"/>
                <w:szCs w:val="20"/>
                <w:lang w:val="en-US"/>
              </w:rPr>
            </w:pPr>
            <w:bookmarkStart w:id="22" w:name="_Toc343078062"/>
            <w:bookmarkStart w:id="23" w:name="_Toc343079048"/>
            <w:bookmarkStart w:id="24" w:name="_Toc354565923"/>
            <w:bookmarkStart w:id="25" w:name="_Toc354566527"/>
            <w:proofErr w:type="spellStart"/>
            <w:r w:rsidRPr="009B1D85">
              <w:rPr>
                <w:b/>
                <w:sz w:val="20"/>
                <w:szCs w:val="20"/>
                <w:lang w:val="en-US"/>
              </w:rPr>
              <w:t>Расширения</w:t>
            </w:r>
            <w:proofErr w:type="spellEnd"/>
            <w:r w:rsidRPr="009B1D85">
              <w:rPr>
                <w:b/>
                <w:sz w:val="20"/>
                <w:szCs w:val="20"/>
                <w:lang w:val="en-US"/>
              </w:rPr>
              <w:t xml:space="preserve"> </w:t>
            </w:r>
            <w:proofErr w:type="spellStart"/>
            <w:r w:rsidRPr="009B1D85">
              <w:rPr>
                <w:b/>
                <w:sz w:val="20"/>
                <w:szCs w:val="20"/>
                <w:lang w:val="en-US"/>
              </w:rPr>
              <w:t>страховой</w:t>
            </w:r>
            <w:proofErr w:type="spellEnd"/>
            <w:r w:rsidRPr="009B1D85">
              <w:rPr>
                <w:b/>
                <w:sz w:val="20"/>
                <w:szCs w:val="20"/>
                <w:lang w:val="en-US"/>
              </w:rPr>
              <w:t xml:space="preserve"> </w:t>
            </w:r>
            <w:proofErr w:type="spellStart"/>
            <w:r w:rsidRPr="009B1D85">
              <w:rPr>
                <w:b/>
                <w:sz w:val="20"/>
                <w:szCs w:val="20"/>
                <w:lang w:val="en-US"/>
              </w:rPr>
              <w:t>защиты</w:t>
            </w:r>
            <w:bookmarkEnd w:id="22"/>
            <w:bookmarkEnd w:id="23"/>
            <w:bookmarkEnd w:id="24"/>
            <w:bookmarkEnd w:id="25"/>
            <w:proofErr w:type="spellEnd"/>
          </w:p>
        </w:tc>
        <w:tc>
          <w:tcPr>
            <w:tcW w:w="9120" w:type="dxa"/>
          </w:tcPr>
          <w:p w:rsidR="009B1D85" w:rsidRPr="009B1D85" w:rsidRDefault="009B1D85" w:rsidP="009B1D85">
            <w:pPr>
              <w:ind w:left="238" w:firstLine="90"/>
              <w:rPr>
                <w:color w:val="000000"/>
                <w:sz w:val="20"/>
                <w:szCs w:val="20"/>
                <w:lang w:eastAsia="smn-FI"/>
              </w:rPr>
            </w:pPr>
            <w:r w:rsidRPr="009B1D85">
              <w:rPr>
                <w:color w:val="000000"/>
                <w:sz w:val="20"/>
                <w:szCs w:val="20"/>
                <w:lang w:eastAsia="smn-FI"/>
              </w:rPr>
              <w:t>Страховая защита по договору страхования ответственности должна распространяться на:</w:t>
            </w:r>
          </w:p>
          <w:p w:rsidR="009B1D85" w:rsidRPr="009B1D85" w:rsidRDefault="009B1D85" w:rsidP="009B1D85">
            <w:pPr>
              <w:numPr>
                <w:ilvl w:val="0"/>
                <w:numId w:val="21"/>
              </w:numPr>
              <w:spacing w:before="0"/>
              <w:ind w:left="238" w:firstLine="90"/>
              <w:rPr>
                <w:color w:val="000000"/>
                <w:sz w:val="20"/>
                <w:szCs w:val="20"/>
                <w:lang w:eastAsia="smn-FI"/>
              </w:rPr>
            </w:pPr>
            <w:r w:rsidRPr="009B1D85">
              <w:rPr>
                <w:color w:val="000000"/>
                <w:sz w:val="20"/>
                <w:szCs w:val="20"/>
                <w:lang w:eastAsia="smn-FI"/>
              </w:rPr>
              <w:t>на вред, причиненный третьим лицам в результате строительно-монтажных работ, не затрагивающих несущие конструкции Объектов, включая «горячие работы», в том числе, причинённый привлечёнными (</w:t>
            </w:r>
            <w:proofErr w:type="spellStart"/>
            <w:r w:rsidRPr="009B1D85">
              <w:rPr>
                <w:color w:val="000000"/>
                <w:sz w:val="20"/>
                <w:szCs w:val="20"/>
                <w:lang w:eastAsia="smn-FI"/>
              </w:rPr>
              <w:t>суб</w:t>
            </w:r>
            <w:proofErr w:type="spellEnd"/>
            <w:r w:rsidRPr="009B1D85">
              <w:rPr>
                <w:color w:val="000000"/>
                <w:sz w:val="20"/>
                <w:szCs w:val="20"/>
                <w:lang w:eastAsia="smn-FI"/>
              </w:rPr>
              <w:t>-)подрядчиками;</w:t>
            </w:r>
          </w:p>
          <w:p w:rsidR="009B1D85" w:rsidRPr="009B1D85" w:rsidRDefault="009B1D85" w:rsidP="009B1D85">
            <w:pPr>
              <w:numPr>
                <w:ilvl w:val="0"/>
                <w:numId w:val="21"/>
              </w:numPr>
              <w:spacing w:before="0"/>
              <w:ind w:left="238" w:firstLine="90"/>
              <w:rPr>
                <w:color w:val="000000"/>
                <w:sz w:val="20"/>
                <w:szCs w:val="20"/>
                <w:lang w:eastAsia="smn-FI"/>
              </w:rPr>
            </w:pPr>
            <w:r w:rsidRPr="009B1D85">
              <w:rPr>
                <w:color w:val="000000"/>
                <w:sz w:val="20"/>
                <w:szCs w:val="20"/>
                <w:lang w:eastAsia="smn-FI"/>
              </w:rPr>
              <w:t xml:space="preserve">ответственность за вред, причинённый транспортным средствам, принадлежащим третьим лицам, на автостоянках, включая угон транспортного средства, кражу вещей из транспортного средства, противоправные действия третьих; </w:t>
            </w:r>
          </w:p>
          <w:p w:rsidR="009B1D85" w:rsidRPr="009B1D85" w:rsidRDefault="009B1D85" w:rsidP="009B1D85">
            <w:pPr>
              <w:numPr>
                <w:ilvl w:val="0"/>
                <w:numId w:val="21"/>
              </w:numPr>
              <w:spacing w:before="0"/>
              <w:ind w:left="238" w:firstLine="90"/>
              <w:rPr>
                <w:color w:val="000000"/>
                <w:sz w:val="20"/>
                <w:szCs w:val="20"/>
                <w:lang w:eastAsia="smn-FI"/>
              </w:rPr>
            </w:pPr>
            <w:r w:rsidRPr="009B1D85">
              <w:rPr>
                <w:color w:val="000000"/>
                <w:sz w:val="20"/>
                <w:szCs w:val="20"/>
                <w:lang w:eastAsia="smn-FI"/>
              </w:rPr>
              <w:lastRenderedPageBreak/>
              <w:t>компенсацию утраты товарного вида транспортного средства по решению суда (для ответственности за вред, причинённый транспортному средству).</w:t>
            </w:r>
          </w:p>
          <w:p w:rsidR="009B1D85" w:rsidRPr="009B1D85" w:rsidRDefault="009B1D85" w:rsidP="009B1D85">
            <w:pPr>
              <w:numPr>
                <w:ilvl w:val="0"/>
                <w:numId w:val="21"/>
              </w:numPr>
              <w:spacing w:before="0"/>
              <w:ind w:left="238" w:firstLine="90"/>
              <w:rPr>
                <w:color w:val="000000"/>
                <w:sz w:val="20"/>
                <w:szCs w:val="20"/>
                <w:lang w:eastAsia="smn-FI"/>
              </w:rPr>
            </w:pPr>
            <w:r w:rsidRPr="009B1D85">
              <w:rPr>
                <w:color w:val="000000"/>
                <w:sz w:val="20"/>
                <w:szCs w:val="20"/>
                <w:lang w:eastAsia="smn-FI"/>
              </w:rPr>
              <w:t>на ответственность застрахованных лиц при проведении им рекламных акций и прочих рекламных и маркетинговых мероприятий, в рамках которых могут проводиться конкурсы, спортивные состязания, розыгрыши т. п., а также в связи с использованием спортивных снарядов и оборудования;</w:t>
            </w:r>
          </w:p>
          <w:p w:rsidR="009B1D85" w:rsidRPr="009B1D85" w:rsidRDefault="009B1D85" w:rsidP="009B1D85">
            <w:pPr>
              <w:numPr>
                <w:ilvl w:val="0"/>
                <w:numId w:val="21"/>
              </w:numPr>
              <w:spacing w:before="0"/>
              <w:ind w:left="238" w:firstLine="90"/>
              <w:rPr>
                <w:color w:val="000000"/>
                <w:sz w:val="20"/>
                <w:szCs w:val="20"/>
                <w:lang w:eastAsia="smn-FI"/>
              </w:rPr>
            </w:pPr>
            <w:r w:rsidRPr="009B1D85">
              <w:rPr>
                <w:color w:val="000000"/>
                <w:sz w:val="20"/>
                <w:szCs w:val="20"/>
                <w:lang w:eastAsia="smn-FI"/>
              </w:rPr>
              <w:t>перекрестную ответственность застрахованных лиц друг перед другом;</w:t>
            </w:r>
          </w:p>
          <w:p w:rsidR="009B1D85" w:rsidRPr="009B1D85" w:rsidRDefault="009B1D85" w:rsidP="009B1D85">
            <w:pPr>
              <w:numPr>
                <w:ilvl w:val="0"/>
                <w:numId w:val="21"/>
              </w:numPr>
              <w:spacing w:before="0"/>
              <w:ind w:left="238" w:firstLine="90"/>
              <w:rPr>
                <w:color w:val="000000"/>
                <w:sz w:val="20"/>
                <w:szCs w:val="20"/>
                <w:lang w:eastAsia="smn-FI"/>
              </w:rPr>
            </w:pPr>
            <w:r w:rsidRPr="009B1D85">
              <w:rPr>
                <w:color w:val="000000"/>
                <w:sz w:val="20"/>
                <w:szCs w:val="20"/>
                <w:lang w:eastAsia="smn-FI"/>
              </w:rPr>
              <w:t>отказ от суброгации к сотрудникам Заказчика и(или) Оператора ;</w:t>
            </w:r>
          </w:p>
          <w:p w:rsidR="009B1D85" w:rsidRPr="009B1D85" w:rsidRDefault="009B1D85" w:rsidP="009B1D85">
            <w:pPr>
              <w:numPr>
                <w:ilvl w:val="0"/>
                <w:numId w:val="21"/>
              </w:numPr>
              <w:spacing w:before="0"/>
              <w:ind w:left="238" w:firstLine="90"/>
              <w:rPr>
                <w:color w:val="000000"/>
                <w:sz w:val="20"/>
                <w:szCs w:val="20"/>
                <w:lang w:eastAsia="smn-FI"/>
              </w:rPr>
            </w:pPr>
            <w:r w:rsidRPr="009B1D85">
              <w:rPr>
                <w:color w:val="000000"/>
                <w:sz w:val="20"/>
                <w:szCs w:val="20"/>
                <w:lang w:eastAsia="smn-FI"/>
              </w:rPr>
              <w:t>покрытие судебных издержек и иных юридических расходов, связанных с рассмотрением и защитой от произошедших и/или предполагаемых страховых случаев, включая расходы на защиту и расследование обстоятельств возникшего события;</w:t>
            </w:r>
          </w:p>
          <w:p w:rsidR="009B1D85" w:rsidRPr="009B1D85" w:rsidRDefault="009B1D85" w:rsidP="009B1D85">
            <w:pPr>
              <w:numPr>
                <w:ilvl w:val="0"/>
                <w:numId w:val="21"/>
              </w:numPr>
              <w:spacing w:before="0"/>
              <w:ind w:left="238" w:firstLine="90"/>
              <w:rPr>
                <w:color w:val="000000"/>
                <w:sz w:val="20"/>
                <w:szCs w:val="20"/>
                <w:lang w:eastAsia="smn-FI"/>
              </w:rPr>
            </w:pPr>
            <w:r w:rsidRPr="009B1D85">
              <w:rPr>
                <w:color w:val="000000"/>
                <w:sz w:val="20"/>
                <w:szCs w:val="20"/>
                <w:lang w:eastAsia="smn-FI"/>
              </w:rPr>
              <w:t xml:space="preserve">на косвенные убытки, а именно упущенную выгоду (т. е. неполученные доходы, которые лицо, чье право нарушено, получило бы при обычных условиях гражданского оборота, если бы его право не было нарушено), и другой реальный ущерб (т. е. расходы, которое лицо, чье право нарушено, произвело или должно будет произвести для восстановления нарушенного права), вытекающие из причинения вреда жизни и здоровью и/или ущерба имуществу; </w:t>
            </w:r>
          </w:p>
          <w:p w:rsidR="009B1D85" w:rsidRPr="009B1D85" w:rsidRDefault="009B1D85" w:rsidP="009B1D85">
            <w:pPr>
              <w:numPr>
                <w:ilvl w:val="0"/>
                <w:numId w:val="21"/>
              </w:numPr>
              <w:spacing w:before="0"/>
              <w:ind w:left="238" w:firstLine="90"/>
              <w:rPr>
                <w:color w:val="000000"/>
                <w:sz w:val="20"/>
                <w:szCs w:val="20"/>
                <w:lang w:eastAsia="smn-FI"/>
              </w:rPr>
            </w:pPr>
            <w:r w:rsidRPr="009B1D85">
              <w:rPr>
                <w:color w:val="000000"/>
                <w:sz w:val="20"/>
                <w:szCs w:val="20"/>
                <w:lang w:eastAsia="smn-FI"/>
              </w:rPr>
              <w:t xml:space="preserve">ответственность за вред, причиненный третьим лицам в результате повреждения коммуникаций. </w:t>
            </w:r>
          </w:p>
          <w:p w:rsidR="009B1D85" w:rsidRPr="009B1D85" w:rsidRDefault="009B1D85" w:rsidP="009B1D85">
            <w:pPr>
              <w:numPr>
                <w:ilvl w:val="0"/>
                <w:numId w:val="21"/>
              </w:numPr>
              <w:spacing w:before="0"/>
              <w:ind w:left="238" w:firstLine="90"/>
              <w:rPr>
                <w:color w:val="000000"/>
                <w:sz w:val="20"/>
                <w:szCs w:val="20"/>
                <w:lang w:eastAsia="smn-FI"/>
              </w:rPr>
            </w:pPr>
            <w:r w:rsidRPr="009B1D85">
              <w:rPr>
                <w:color w:val="000000"/>
                <w:sz w:val="20"/>
                <w:szCs w:val="20"/>
                <w:lang w:eastAsia="smn-FI"/>
              </w:rPr>
              <w:t xml:space="preserve">на требования о возмещении морального вреда при наличии решения суда, вступившего в законную силу; </w:t>
            </w:r>
          </w:p>
          <w:p w:rsidR="009B1D85" w:rsidRPr="009B1D85" w:rsidRDefault="009B1D85" w:rsidP="009B1D85">
            <w:pPr>
              <w:numPr>
                <w:ilvl w:val="0"/>
                <w:numId w:val="21"/>
              </w:numPr>
              <w:spacing w:before="0"/>
              <w:ind w:left="238" w:firstLine="90"/>
              <w:rPr>
                <w:color w:val="000000"/>
                <w:sz w:val="20"/>
                <w:szCs w:val="20"/>
                <w:lang w:eastAsia="smn-FI"/>
              </w:rPr>
            </w:pPr>
            <w:r w:rsidRPr="009B1D85">
              <w:rPr>
                <w:color w:val="000000"/>
                <w:sz w:val="20"/>
                <w:szCs w:val="20"/>
                <w:lang w:eastAsia="smn-FI"/>
              </w:rPr>
              <w:t xml:space="preserve">на ответственность за медицинскую небрежность (при оказании первой помощи и т. д.); </w:t>
            </w:r>
          </w:p>
          <w:p w:rsidR="009B1D85" w:rsidRPr="009B1D85" w:rsidRDefault="009B1D85" w:rsidP="009B1D85">
            <w:pPr>
              <w:numPr>
                <w:ilvl w:val="0"/>
                <w:numId w:val="21"/>
              </w:numPr>
              <w:spacing w:before="0"/>
              <w:ind w:left="238" w:firstLine="90"/>
              <w:rPr>
                <w:color w:val="000000"/>
                <w:sz w:val="20"/>
                <w:szCs w:val="20"/>
                <w:lang w:eastAsia="smn-FI"/>
              </w:rPr>
            </w:pPr>
            <w:r w:rsidRPr="009B1D85">
              <w:rPr>
                <w:color w:val="000000"/>
                <w:sz w:val="20"/>
                <w:szCs w:val="20"/>
                <w:lang w:eastAsia="smn-FI"/>
              </w:rPr>
              <w:t xml:space="preserve">на ответственность за предметы искусства / ювелирные изделия; </w:t>
            </w:r>
          </w:p>
          <w:p w:rsidR="009B1D85" w:rsidRPr="009B1D85" w:rsidRDefault="009B1D85" w:rsidP="009B1D85">
            <w:pPr>
              <w:numPr>
                <w:ilvl w:val="0"/>
                <w:numId w:val="21"/>
              </w:numPr>
              <w:spacing w:before="0"/>
              <w:ind w:left="238" w:firstLine="90"/>
              <w:rPr>
                <w:color w:val="000000"/>
                <w:sz w:val="20"/>
                <w:szCs w:val="20"/>
                <w:lang w:eastAsia="smn-FI"/>
              </w:rPr>
            </w:pPr>
            <w:r w:rsidRPr="009B1D85">
              <w:rPr>
                <w:color w:val="000000"/>
                <w:sz w:val="20"/>
                <w:szCs w:val="20"/>
                <w:lang w:eastAsia="smn-FI"/>
              </w:rPr>
              <w:t xml:space="preserve">на ответственность за предметы на хранении, ответственность за имущество постояльцев; </w:t>
            </w:r>
          </w:p>
          <w:p w:rsidR="009B1D85" w:rsidRPr="009B1D85" w:rsidRDefault="009B1D85" w:rsidP="009B1D85">
            <w:pPr>
              <w:numPr>
                <w:ilvl w:val="0"/>
                <w:numId w:val="21"/>
              </w:numPr>
              <w:spacing w:before="0"/>
              <w:ind w:left="238" w:firstLine="90"/>
              <w:rPr>
                <w:color w:val="000000"/>
                <w:sz w:val="20"/>
                <w:szCs w:val="20"/>
                <w:lang w:eastAsia="smn-FI"/>
              </w:rPr>
            </w:pPr>
            <w:r w:rsidRPr="009B1D85">
              <w:rPr>
                <w:color w:val="000000"/>
                <w:sz w:val="20"/>
                <w:szCs w:val="20"/>
                <w:lang w:eastAsia="smn-FI"/>
              </w:rPr>
              <w:t xml:space="preserve">на предметы в процессе обработки / производства;   </w:t>
            </w:r>
          </w:p>
          <w:p w:rsidR="009B1D85" w:rsidRPr="009B1D85" w:rsidRDefault="009B1D85" w:rsidP="009B1D85">
            <w:pPr>
              <w:numPr>
                <w:ilvl w:val="0"/>
                <w:numId w:val="21"/>
              </w:numPr>
              <w:spacing w:before="0"/>
              <w:ind w:left="238" w:firstLine="90"/>
              <w:rPr>
                <w:color w:val="000000"/>
                <w:sz w:val="20"/>
                <w:szCs w:val="20"/>
                <w:lang w:eastAsia="smn-FI"/>
              </w:rPr>
            </w:pPr>
            <w:r w:rsidRPr="009B1D85">
              <w:rPr>
                <w:color w:val="000000"/>
                <w:sz w:val="20"/>
                <w:szCs w:val="20"/>
                <w:lang w:eastAsia="smn-FI"/>
              </w:rPr>
              <w:t xml:space="preserve">за вред, связанный с ресторанной деятельностью и по продаже / распространению алкогольной продукции; </w:t>
            </w:r>
          </w:p>
          <w:p w:rsidR="009B1D85" w:rsidRPr="009B1D85" w:rsidRDefault="009B1D85" w:rsidP="009B1D85">
            <w:pPr>
              <w:numPr>
                <w:ilvl w:val="0"/>
                <w:numId w:val="21"/>
              </w:numPr>
              <w:spacing w:before="0"/>
              <w:ind w:left="238" w:firstLine="90"/>
              <w:rPr>
                <w:color w:val="000000"/>
                <w:sz w:val="20"/>
                <w:szCs w:val="20"/>
                <w:lang w:eastAsia="smn-FI"/>
              </w:rPr>
            </w:pPr>
            <w:r w:rsidRPr="009B1D85">
              <w:rPr>
                <w:color w:val="000000"/>
                <w:sz w:val="20"/>
                <w:szCs w:val="20"/>
                <w:lang w:eastAsia="smn-FI"/>
              </w:rPr>
              <w:t xml:space="preserve">за ошибки и упущения в ходе осуществления профессиональной деятельности (кроме такой деятельности как бухгалтерская, аудиторская, консультационная и др.); </w:t>
            </w:r>
          </w:p>
          <w:p w:rsidR="009B1D85" w:rsidRPr="009B1D85" w:rsidRDefault="009B1D85" w:rsidP="009B1D85">
            <w:pPr>
              <w:numPr>
                <w:ilvl w:val="0"/>
                <w:numId w:val="21"/>
              </w:numPr>
              <w:spacing w:before="0"/>
              <w:ind w:left="238" w:firstLine="90"/>
              <w:rPr>
                <w:color w:val="000000"/>
                <w:sz w:val="20"/>
                <w:szCs w:val="20"/>
                <w:lang w:eastAsia="smn-FI"/>
              </w:rPr>
            </w:pPr>
            <w:r w:rsidRPr="009B1D85">
              <w:rPr>
                <w:color w:val="000000"/>
                <w:sz w:val="20"/>
                <w:szCs w:val="20"/>
                <w:lang w:eastAsia="smn-FI"/>
              </w:rPr>
              <w:t xml:space="preserve">на вред, возникший вследствие загрязнений по оговорке CG 2165; </w:t>
            </w:r>
          </w:p>
          <w:p w:rsidR="009B1D85" w:rsidRPr="009B1D85" w:rsidRDefault="009B1D85" w:rsidP="009B1D85">
            <w:pPr>
              <w:numPr>
                <w:ilvl w:val="0"/>
                <w:numId w:val="21"/>
              </w:numPr>
              <w:spacing w:before="0"/>
              <w:ind w:left="238" w:firstLine="90"/>
              <w:rPr>
                <w:color w:val="000000"/>
                <w:sz w:val="20"/>
                <w:szCs w:val="20"/>
                <w:lang w:val="en-US" w:eastAsia="smn-FI"/>
              </w:rPr>
            </w:pPr>
            <w:r w:rsidRPr="009B1D85">
              <w:rPr>
                <w:color w:val="000000"/>
                <w:sz w:val="20"/>
                <w:szCs w:val="20"/>
                <w:lang w:eastAsia="smn-FI"/>
              </w:rPr>
              <w:t>на</w:t>
            </w:r>
            <w:r w:rsidRPr="009B1D85">
              <w:rPr>
                <w:color w:val="000000"/>
                <w:sz w:val="20"/>
                <w:szCs w:val="20"/>
                <w:lang w:val="en-US" w:eastAsia="smn-FI"/>
              </w:rPr>
              <w:t xml:space="preserve"> </w:t>
            </w:r>
            <w:r w:rsidRPr="009B1D85">
              <w:rPr>
                <w:color w:val="000000"/>
                <w:sz w:val="20"/>
                <w:szCs w:val="20"/>
                <w:lang w:eastAsia="smn-FI"/>
              </w:rPr>
              <w:t>ущерб</w:t>
            </w:r>
            <w:r w:rsidRPr="009B1D85">
              <w:rPr>
                <w:color w:val="000000"/>
                <w:sz w:val="20"/>
                <w:szCs w:val="20"/>
                <w:lang w:val="en-US" w:eastAsia="smn-FI"/>
              </w:rPr>
              <w:t xml:space="preserve"> </w:t>
            </w:r>
            <w:r w:rsidRPr="009B1D85">
              <w:rPr>
                <w:color w:val="000000"/>
                <w:sz w:val="20"/>
                <w:szCs w:val="20"/>
                <w:lang w:eastAsia="smn-FI"/>
              </w:rPr>
              <w:t>личной</w:t>
            </w:r>
            <w:r w:rsidRPr="009B1D85">
              <w:rPr>
                <w:color w:val="000000"/>
                <w:sz w:val="20"/>
                <w:szCs w:val="20"/>
                <w:lang w:val="en-US" w:eastAsia="smn-FI"/>
              </w:rPr>
              <w:t xml:space="preserve"> </w:t>
            </w:r>
            <w:r w:rsidRPr="009B1D85">
              <w:rPr>
                <w:color w:val="000000"/>
                <w:sz w:val="20"/>
                <w:szCs w:val="20"/>
                <w:lang w:eastAsia="smn-FI"/>
              </w:rPr>
              <w:t>репутации</w:t>
            </w:r>
            <w:r w:rsidRPr="009B1D85">
              <w:rPr>
                <w:color w:val="000000"/>
                <w:sz w:val="20"/>
                <w:szCs w:val="20"/>
                <w:lang w:val="en-US" w:eastAsia="smn-FI"/>
              </w:rPr>
              <w:t xml:space="preserve"> </w:t>
            </w:r>
            <w:r w:rsidRPr="009B1D85">
              <w:rPr>
                <w:color w:val="000000"/>
                <w:sz w:val="20"/>
                <w:szCs w:val="20"/>
                <w:lang w:eastAsia="smn-FI"/>
              </w:rPr>
              <w:t>и</w:t>
            </w:r>
            <w:r w:rsidRPr="009B1D85">
              <w:rPr>
                <w:color w:val="000000"/>
                <w:sz w:val="20"/>
                <w:szCs w:val="20"/>
                <w:lang w:val="en-US" w:eastAsia="smn-FI"/>
              </w:rPr>
              <w:t xml:space="preserve"> </w:t>
            </w:r>
            <w:r w:rsidRPr="009B1D85">
              <w:rPr>
                <w:color w:val="000000"/>
                <w:sz w:val="20"/>
                <w:szCs w:val="20"/>
                <w:lang w:eastAsia="smn-FI"/>
              </w:rPr>
              <w:t>ущерб</w:t>
            </w:r>
            <w:r w:rsidRPr="009B1D85">
              <w:rPr>
                <w:color w:val="000000"/>
                <w:sz w:val="20"/>
                <w:szCs w:val="20"/>
                <w:lang w:val="en-US" w:eastAsia="smn-FI"/>
              </w:rPr>
              <w:t xml:space="preserve"> </w:t>
            </w:r>
            <w:r w:rsidRPr="009B1D85">
              <w:rPr>
                <w:color w:val="000000"/>
                <w:sz w:val="20"/>
                <w:szCs w:val="20"/>
                <w:lang w:eastAsia="smn-FI"/>
              </w:rPr>
              <w:t>репутации</w:t>
            </w:r>
            <w:r w:rsidRPr="009B1D85">
              <w:rPr>
                <w:color w:val="000000"/>
                <w:sz w:val="20"/>
                <w:szCs w:val="20"/>
                <w:lang w:val="en-US" w:eastAsia="smn-FI"/>
              </w:rPr>
              <w:t xml:space="preserve"> </w:t>
            </w:r>
            <w:r w:rsidRPr="009B1D85">
              <w:rPr>
                <w:color w:val="000000"/>
                <w:sz w:val="20"/>
                <w:szCs w:val="20"/>
                <w:lang w:eastAsia="smn-FI"/>
              </w:rPr>
              <w:t>в</w:t>
            </w:r>
            <w:r w:rsidRPr="009B1D85">
              <w:rPr>
                <w:color w:val="000000"/>
                <w:sz w:val="20"/>
                <w:szCs w:val="20"/>
                <w:lang w:val="en-US" w:eastAsia="smn-FI"/>
              </w:rPr>
              <w:t xml:space="preserve"> </w:t>
            </w:r>
            <w:r w:rsidRPr="009B1D85">
              <w:rPr>
                <w:color w:val="000000"/>
                <w:sz w:val="20"/>
                <w:szCs w:val="20"/>
                <w:lang w:eastAsia="smn-FI"/>
              </w:rPr>
              <w:t>рекламе</w:t>
            </w:r>
            <w:r w:rsidRPr="009B1D85">
              <w:rPr>
                <w:color w:val="000000"/>
                <w:sz w:val="20"/>
                <w:szCs w:val="20"/>
                <w:lang w:val="en-US" w:eastAsia="smn-FI"/>
              </w:rPr>
              <w:t xml:space="preserve"> (Personal and Advertising injury covering liability). </w:t>
            </w:r>
          </w:p>
          <w:p w:rsidR="00707FDC" w:rsidRPr="009B1D85" w:rsidRDefault="009B1D85" w:rsidP="00044F07">
            <w:pPr>
              <w:ind w:left="238" w:firstLine="90"/>
              <w:rPr>
                <w:color w:val="000000"/>
                <w:sz w:val="20"/>
                <w:szCs w:val="20"/>
                <w:lang w:eastAsia="smn-FI"/>
              </w:rPr>
            </w:pPr>
            <w:r w:rsidRPr="009B1D85">
              <w:rPr>
                <w:color w:val="000000"/>
                <w:sz w:val="20"/>
                <w:szCs w:val="20"/>
                <w:lang w:eastAsia="smn-FI"/>
              </w:rPr>
              <w:t xml:space="preserve">В отношении перечисленного перечня расширений страховой защиты по соглашению Страхователя и Страховщика могут устанавливаться </w:t>
            </w:r>
            <w:proofErr w:type="spellStart"/>
            <w:r w:rsidRPr="009B1D85">
              <w:rPr>
                <w:color w:val="000000"/>
                <w:sz w:val="20"/>
                <w:szCs w:val="20"/>
                <w:lang w:eastAsia="smn-FI"/>
              </w:rPr>
              <w:t>сублимиты</w:t>
            </w:r>
            <w:proofErr w:type="spellEnd"/>
            <w:r w:rsidRPr="009B1D85">
              <w:rPr>
                <w:color w:val="000000"/>
                <w:sz w:val="20"/>
                <w:szCs w:val="20"/>
                <w:lang w:eastAsia="smn-FI"/>
              </w:rPr>
              <w:t xml:space="preserve">, но в любом случае не ниже </w:t>
            </w:r>
            <w:r w:rsidRPr="009B1D85">
              <w:rPr>
                <w:color w:val="000000"/>
                <w:sz w:val="20"/>
                <w:szCs w:val="20"/>
                <w:lang w:eastAsia="smn-FI"/>
              </w:rPr>
              <w:lastRenderedPageBreak/>
              <w:t xml:space="preserve">100 000,00 Долларов США. </w:t>
            </w:r>
          </w:p>
        </w:tc>
      </w:tr>
      <w:tr w:rsidR="009B1D85" w:rsidRPr="009C6935" w:rsidTr="008D23BA">
        <w:tc>
          <w:tcPr>
            <w:tcW w:w="6062" w:type="dxa"/>
          </w:tcPr>
          <w:p w:rsidR="009B1D85" w:rsidRPr="009B1D85" w:rsidRDefault="009B1D85" w:rsidP="00044F07">
            <w:pPr>
              <w:spacing w:before="0" w:after="0"/>
              <w:ind w:firstLine="0"/>
              <w:outlineLvl w:val="0"/>
              <w:rPr>
                <w:color w:val="0083A9"/>
                <w:sz w:val="20"/>
              </w:rPr>
            </w:pPr>
            <w:proofErr w:type="spellStart"/>
            <w:r w:rsidRPr="009B1D85">
              <w:rPr>
                <w:b/>
                <w:sz w:val="20"/>
                <w:szCs w:val="20"/>
                <w:lang w:val="en-US"/>
              </w:rPr>
              <w:lastRenderedPageBreak/>
              <w:t>Расширенный</w:t>
            </w:r>
            <w:proofErr w:type="spellEnd"/>
            <w:r w:rsidRPr="009B1D85">
              <w:rPr>
                <w:b/>
                <w:sz w:val="20"/>
                <w:szCs w:val="20"/>
                <w:lang w:val="en-US"/>
              </w:rPr>
              <w:t xml:space="preserve"> </w:t>
            </w:r>
            <w:proofErr w:type="spellStart"/>
            <w:r w:rsidRPr="009B1D85">
              <w:rPr>
                <w:b/>
                <w:sz w:val="20"/>
                <w:szCs w:val="20"/>
                <w:lang w:val="en-US"/>
              </w:rPr>
              <w:t>период</w:t>
            </w:r>
            <w:proofErr w:type="spellEnd"/>
            <w:r w:rsidRPr="009B1D85">
              <w:rPr>
                <w:b/>
                <w:sz w:val="20"/>
                <w:szCs w:val="20"/>
                <w:lang w:val="en-US"/>
              </w:rPr>
              <w:t xml:space="preserve"> </w:t>
            </w:r>
            <w:proofErr w:type="spellStart"/>
            <w:r w:rsidRPr="009B1D85">
              <w:rPr>
                <w:b/>
                <w:sz w:val="20"/>
                <w:szCs w:val="20"/>
                <w:lang w:val="en-US"/>
              </w:rPr>
              <w:t>предъявления</w:t>
            </w:r>
            <w:proofErr w:type="spellEnd"/>
            <w:r w:rsidRPr="009B1D85">
              <w:rPr>
                <w:b/>
                <w:sz w:val="20"/>
                <w:szCs w:val="20"/>
                <w:lang w:val="en-US"/>
              </w:rPr>
              <w:t xml:space="preserve"> </w:t>
            </w:r>
            <w:proofErr w:type="spellStart"/>
            <w:r w:rsidRPr="009B1D85">
              <w:rPr>
                <w:b/>
                <w:sz w:val="20"/>
                <w:szCs w:val="20"/>
                <w:lang w:val="en-US"/>
              </w:rPr>
              <w:t>претензий</w:t>
            </w:r>
            <w:proofErr w:type="spellEnd"/>
          </w:p>
        </w:tc>
        <w:tc>
          <w:tcPr>
            <w:tcW w:w="9120" w:type="dxa"/>
          </w:tcPr>
          <w:p w:rsidR="009B1D85" w:rsidRPr="009B1D85" w:rsidRDefault="009B1D85" w:rsidP="009B1D85">
            <w:pPr>
              <w:pStyle w:val="1"/>
              <w:spacing w:before="240" w:after="120" w:line="240" w:lineRule="auto"/>
              <w:ind w:left="0"/>
              <w:contextualSpacing w:val="0"/>
              <w:jc w:val="both"/>
              <w:rPr>
                <w:rFonts w:ascii="Times New Roman" w:hAnsi="Times New Roman"/>
                <w:color w:val="000000"/>
                <w:sz w:val="20"/>
                <w:szCs w:val="20"/>
                <w:lang w:eastAsia="smn-FI"/>
              </w:rPr>
            </w:pPr>
            <w:r>
              <w:rPr>
                <w:rFonts w:ascii="Times New Roman" w:hAnsi="Times New Roman"/>
                <w:color w:val="000000"/>
                <w:sz w:val="20"/>
                <w:szCs w:val="20"/>
                <w:lang w:eastAsia="smn-FI"/>
              </w:rPr>
              <w:t xml:space="preserve"> </w:t>
            </w:r>
            <w:r w:rsidRPr="009B1D85">
              <w:rPr>
                <w:rFonts w:ascii="Times New Roman" w:hAnsi="Times New Roman"/>
                <w:color w:val="000000"/>
                <w:sz w:val="20"/>
                <w:szCs w:val="20"/>
                <w:lang w:eastAsia="smn-FI"/>
              </w:rPr>
              <w:t>3 года с даты окончания периода страхования</w:t>
            </w:r>
          </w:p>
        </w:tc>
      </w:tr>
    </w:tbl>
    <w:p w:rsidR="002008CB" w:rsidRPr="00BE5E65" w:rsidRDefault="002008CB" w:rsidP="00FA6D98">
      <w:pPr>
        <w:spacing w:before="0" w:after="0"/>
        <w:ind w:firstLine="0"/>
        <w:outlineLvl w:val="0"/>
        <w:rPr>
          <w:b/>
          <w:sz w:val="20"/>
          <w:szCs w:val="20"/>
        </w:rPr>
      </w:pPr>
    </w:p>
    <w:p w:rsidR="004E76EA" w:rsidRDefault="004E76EA" w:rsidP="004E76EA">
      <w:pPr>
        <w:pStyle w:val="a5"/>
        <w:spacing w:before="0" w:after="0" w:line="240" w:lineRule="auto"/>
        <w:ind w:left="0" w:firstLine="0"/>
        <w:rPr>
          <w:b/>
          <w:sz w:val="22"/>
          <w:szCs w:val="22"/>
        </w:rPr>
      </w:pPr>
      <w:r w:rsidRPr="00BE5E65">
        <w:rPr>
          <w:b/>
          <w:bCs/>
          <w:sz w:val="20"/>
        </w:rPr>
        <w:t>РАЗДЕЛ №2:</w:t>
      </w:r>
      <w:r w:rsidRPr="00BE5E65">
        <w:t xml:space="preserve"> </w:t>
      </w:r>
      <w:r w:rsidRPr="00A54DCA">
        <w:rPr>
          <w:b/>
          <w:color w:val="000000"/>
          <w:sz w:val="22"/>
          <w:szCs w:val="22"/>
        </w:rPr>
        <w:t xml:space="preserve">ФОРМА ДЛЯ ЗАПОЛНЕНИЯ УЧАСТНИКОМ </w:t>
      </w:r>
    </w:p>
    <w:p w:rsidR="00BE5E65" w:rsidRPr="00BE5E65" w:rsidRDefault="00CC4FB1" w:rsidP="00FA6D98">
      <w:pPr>
        <w:pStyle w:val="a5"/>
        <w:spacing w:before="0" w:after="0" w:line="240" w:lineRule="auto"/>
        <w:ind w:left="0" w:firstLine="0"/>
        <w:rPr>
          <w:color w:val="000000"/>
          <w:sz w:val="20"/>
        </w:rPr>
      </w:pPr>
      <w:r w:rsidRPr="00CC4FB1">
        <w:rPr>
          <w:color w:val="000000"/>
          <w:sz w:val="20"/>
        </w:rPr>
        <w:t>Участник закупки, рассмотрев условия страхования, предоставляет Заказчику предложение, содержащее, в том числе  следующую информацию:</w:t>
      </w:r>
    </w:p>
    <w:tbl>
      <w:tblPr>
        <w:tblStyle w:val="a3"/>
        <w:tblW w:w="0" w:type="auto"/>
        <w:tblLook w:val="04A0" w:firstRow="1" w:lastRow="0" w:firstColumn="1" w:lastColumn="0" w:noHBand="0" w:noVBand="1"/>
      </w:tblPr>
      <w:tblGrid>
        <w:gridCol w:w="3118"/>
        <w:gridCol w:w="3936"/>
        <w:gridCol w:w="3131"/>
        <w:gridCol w:w="2594"/>
        <w:gridCol w:w="2403"/>
      </w:tblGrid>
      <w:tr w:rsidR="00FA6D98" w:rsidRPr="00BE5E65" w:rsidTr="004E76EA">
        <w:tc>
          <w:tcPr>
            <w:tcW w:w="3118" w:type="dxa"/>
            <w:vAlign w:val="center"/>
          </w:tcPr>
          <w:p w:rsidR="00FA6D98" w:rsidRPr="00BE5E65" w:rsidRDefault="00FA6D98" w:rsidP="004E76EA">
            <w:pPr>
              <w:pStyle w:val="a5"/>
              <w:spacing w:before="0" w:after="0" w:line="240" w:lineRule="auto"/>
              <w:ind w:left="0" w:firstLine="0"/>
              <w:jc w:val="center"/>
              <w:rPr>
                <w:color w:val="000000"/>
                <w:sz w:val="20"/>
              </w:rPr>
            </w:pPr>
            <w:r w:rsidRPr="00BE5E65">
              <w:rPr>
                <w:color w:val="000000"/>
                <w:sz w:val="20"/>
              </w:rPr>
              <w:t>Наименование Страховщика</w:t>
            </w:r>
          </w:p>
        </w:tc>
        <w:tc>
          <w:tcPr>
            <w:tcW w:w="3936" w:type="dxa"/>
            <w:vAlign w:val="center"/>
          </w:tcPr>
          <w:p w:rsidR="00FA6D98" w:rsidRPr="00BE5E65" w:rsidRDefault="00FA6D98" w:rsidP="004E76EA">
            <w:pPr>
              <w:pStyle w:val="a5"/>
              <w:spacing w:before="0" w:after="0" w:line="240" w:lineRule="auto"/>
              <w:ind w:left="0" w:firstLine="0"/>
              <w:jc w:val="center"/>
              <w:rPr>
                <w:color w:val="000000"/>
                <w:sz w:val="20"/>
              </w:rPr>
            </w:pPr>
            <w:r w:rsidRPr="00BE5E65">
              <w:rPr>
                <w:color w:val="000000"/>
                <w:sz w:val="20"/>
              </w:rPr>
              <w:t xml:space="preserve">Ограничения, исключения </w:t>
            </w:r>
            <w:r w:rsidR="00213C57" w:rsidRPr="00BE5E65">
              <w:rPr>
                <w:color w:val="000000"/>
                <w:sz w:val="20"/>
              </w:rPr>
              <w:t xml:space="preserve">Страховщика </w:t>
            </w:r>
            <w:r w:rsidRPr="00BE5E65">
              <w:rPr>
                <w:color w:val="000000"/>
                <w:sz w:val="20"/>
              </w:rPr>
              <w:t>в отношении рисков и условий</w:t>
            </w:r>
            <w:r w:rsidR="00A867C7">
              <w:rPr>
                <w:color w:val="000000"/>
                <w:sz w:val="20"/>
              </w:rPr>
              <w:t xml:space="preserve">, </w:t>
            </w:r>
            <w:r w:rsidR="00345F1C" w:rsidRPr="00BE5E65">
              <w:rPr>
                <w:color w:val="000000"/>
                <w:sz w:val="20"/>
              </w:rPr>
              <w:t>в том числе</w:t>
            </w:r>
            <w:r w:rsidR="00213C57" w:rsidRPr="00BE5E65">
              <w:rPr>
                <w:color w:val="000000"/>
                <w:sz w:val="20"/>
              </w:rPr>
              <w:t xml:space="preserve"> указать лимиты</w:t>
            </w:r>
          </w:p>
        </w:tc>
        <w:tc>
          <w:tcPr>
            <w:tcW w:w="3131" w:type="dxa"/>
            <w:vAlign w:val="center"/>
          </w:tcPr>
          <w:p w:rsidR="00FA6D98" w:rsidRPr="00BE5E65" w:rsidRDefault="00FA6D98" w:rsidP="0045237D">
            <w:pPr>
              <w:pStyle w:val="a5"/>
              <w:spacing w:before="0" w:after="0" w:line="240" w:lineRule="auto"/>
              <w:ind w:left="0" w:firstLine="0"/>
              <w:jc w:val="center"/>
              <w:rPr>
                <w:bCs/>
                <w:sz w:val="20"/>
              </w:rPr>
            </w:pPr>
            <w:r w:rsidRPr="00BE5E65">
              <w:rPr>
                <w:sz w:val="20"/>
              </w:rPr>
              <w:t xml:space="preserve">Ставки страховой премии </w:t>
            </w:r>
          </w:p>
        </w:tc>
        <w:tc>
          <w:tcPr>
            <w:tcW w:w="2594" w:type="dxa"/>
            <w:vAlign w:val="center"/>
          </w:tcPr>
          <w:p w:rsidR="00FA6D98" w:rsidRPr="00BE5E65" w:rsidRDefault="00FA6D98" w:rsidP="0045237D">
            <w:pPr>
              <w:pStyle w:val="a5"/>
              <w:spacing w:before="0" w:after="0" w:line="240" w:lineRule="auto"/>
              <w:ind w:left="0" w:firstLine="0"/>
              <w:jc w:val="center"/>
              <w:rPr>
                <w:bCs/>
                <w:sz w:val="20"/>
              </w:rPr>
            </w:pPr>
            <w:r w:rsidRPr="00BE5E65">
              <w:rPr>
                <w:bCs/>
                <w:sz w:val="20"/>
              </w:rPr>
              <w:t>Сумма страховой премии за  1</w:t>
            </w:r>
            <w:r w:rsidR="004E76EA">
              <w:rPr>
                <w:bCs/>
                <w:sz w:val="20"/>
              </w:rPr>
              <w:t>2</w:t>
            </w:r>
            <w:r w:rsidRPr="00BE5E65">
              <w:rPr>
                <w:bCs/>
                <w:sz w:val="20"/>
              </w:rPr>
              <w:t xml:space="preserve"> </w:t>
            </w:r>
            <w:r w:rsidR="004E76EA">
              <w:rPr>
                <w:bCs/>
                <w:sz w:val="20"/>
              </w:rPr>
              <w:t>месяцев</w:t>
            </w:r>
            <w:r w:rsidRPr="00BE5E65">
              <w:rPr>
                <w:bCs/>
                <w:sz w:val="20"/>
              </w:rPr>
              <w:t xml:space="preserve">,  в том числе с разбивкой  </w:t>
            </w:r>
          </w:p>
        </w:tc>
        <w:tc>
          <w:tcPr>
            <w:tcW w:w="2403" w:type="dxa"/>
            <w:vAlign w:val="center"/>
          </w:tcPr>
          <w:p w:rsidR="00FA6D98" w:rsidRPr="00BE5E65" w:rsidRDefault="00FA6D98" w:rsidP="004E76EA">
            <w:pPr>
              <w:spacing w:before="0" w:after="0"/>
              <w:ind w:firstLine="0"/>
              <w:jc w:val="center"/>
              <w:rPr>
                <w:bCs/>
                <w:sz w:val="20"/>
                <w:szCs w:val="20"/>
              </w:rPr>
            </w:pPr>
            <w:r w:rsidRPr="00BE5E65">
              <w:rPr>
                <w:bCs/>
                <w:sz w:val="20"/>
                <w:szCs w:val="20"/>
              </w:rPr>
              <w:t>Особые условия, предлагаемые Страховщиком, в том числе условия по оптимизации страхования</w:t>
            </w:r>
          </w:p>
        </w:tc>
      </w:tr>
      <w:tr w:rsidR="00FA6D98" w:rsidRPr="00BE5E65" w:rsidTr="00213C57">
        <w:tc>
          <w:tcPr>
            <w:tcW w:w="3118" w:type="dxa"/>
          </w:tcPr>
          <w:p w:rsidR="00FA6D98" w:rsidRPr="00BE5E65" w:rsidRDefault="00FA6D98" w:rsidP="00FA6D98">
            <w:pPr>
              <w:pStyle w:val="a5"/>
              <w:spacing w:before="0" w:after="0" w:line="240" w:lineRule="auto"/>
              <w:ind w:left="0" w:firstLine="0"/>
              <w:rPr>
                <w:color w:val="000000"/>
                <w:sz w:val="20"/>
              </w:rPr>
            </w:pPr>
          </w:p>
        </w:tc>
        <w:tc>
          <w:tcPr>
            <w:tcW w:w="3936" w:type="dxa"/>
          </w:tcPr>
          <w:p w:rsidR="00FA6D98" w:rsidRPr="00BE5E65" w:rsidRDefault="00FA6D98" w:rsidP="00FA6D98">
            <w:pPr>
              <w:pStyle w:val="a5"/>
              <w:spacing w:before="0" w:after="0" w:line="240" w:lineRule="auto"/>
              <w:ind w:left="0" w:firstLine="0"/>
              <w:rPr>
                <w:color w:val="000000"/>
                <w:sz w:val="20"/>
              </w:rPr>
            </w:pPr>
          </w:p>
        </w:tc>
        <w:tc>
          <w:tcPr>
            <w:tcW w:w="3131" w:type="dxa"/>
          </w:tcPr>
          <w:p w:rsidR="00FA6D98" w:rsidRPr="00BE5E65" w:rsidRDefault="00FA6D98" w:rsidP="00FA6D98">
            <w:pPr>
              <w:pStyle w:val="a5"/>
              <w:spacing w:before="0" w:after="0" w:line="240" w:lineRule="auto"/>
              <w:ind w:left="0" w:firstLine="0"/>
              <w:rPr>
                <w:color w:val="000000"/>
                <w:sz w:val="20"/>
              </w:rPr>
            </w:pPr>
          </w:p>
        </w:tc>
        <w:tc>
          <w:tcPr>
            <w:tcW w:w="2594" w:type="dxa"/>
          </w:tcPr>
          <w:p w:rsidR="00FA6D98" w:rsidRPr="00BE5E65" w:rsidRDefault="00FA6D98" w:rsidP="00FA6D98">
            <w:pPr>
              <w:pStyle w:val="a5"/>
              <w:spacing w:before="0" w:after="0" w:line="240" w:lineRule="auto"/>
              <w:ind w:left="0" w:firstLine="0"/>
              <w:rPr>
                <w:color w:val="000000"/>
                <w:sz w:val="20"/>
              </w:rPr>
            </w:pPr>
          </w:p>
        </w:tc>
        <w:tc>
          <w:tcPr>
            <w:tcW w:w="2403" w:type="dxa"/>
          </w:tcPr>
          <w:p w:rsidR="00FA6D98" w:rsidRPr="00BE5E65" w:rsidRDefault="00FA6D98" w:rsidP="00FA6D98">
            <w:pPr>
              <w:pStyle w:val="a5"/>
              <w:spacing w:before="0" w:after="0" w:line="240" w:lineRule="auto"/>
              <w:ind w:left="0" w:firstLine="0"/>
              <w:rPr>
                <w:color w:val="000000"/>
                <w:sz w:val="20"/>
              </w:rPr>
            </w:pPr>
          </w:p>
        </w:tc>
      </w:tr>
      <w:tr w:rsidR="00213C57" w:rsidRPr="00BE5E65" w:rsidTr="00213C57">
        <w:tc>
          <w:tcPr>
            <w:tcW w:w="3118" w:type="dxa"/>
          </w:tcPr>
          <w:p w:rsidR="00213C57" w:rsidRPr="00BE5E65" w:rsidRDefault="00213C57" w:rsidP="00FA6D98">
            <w:pPr>
              <w:pStyle w:val="a5"/>
              <w:spacing w:before="0" w:after="0" w:line="240" w:lineRule="auto"/>
              <w:ind w:left="0" w:firstLine="0"/>
              <w:rPr>
                <w:color w:val="000000"/>
                <w:sz w:val="20"/>
              </w:rPr>
            </w:pPr>
          </w:p>
        </w:tc>
        <w:tc>
          <w:tcPr>
            <w:tcW w:w="3936" w:type="dxa"/>
          </w:tcPr>
          <w:p w:rsidR="00213C57" w:rsidRPr="00BE5E65" w:rsidRDefault="00213C57" w:rsidP="00FA6D98">
            <w:pPr>
              <w:pStyle w:val="a5"/>
              <w:spacing w:before="0" w:after="0" w:line="240" w:lineRule="auto"/>
              <w:ind w:left="0" w:firstLine="0"/>
              <w:rPr>
                <w:color w:val="000000"/>
                <w:sz w:val="20"/>
              </w:rPr>
            </w:pPr>
          </w:p>
        </w:tc>
        <w:tc>
          <w:tcPr>
            <w:tcW w:w="3131" w:type="dxa"/>
          </w:tcPr>
          <w:p w:rsidR="00213C57" w:rsidRPr="00BE5E65" w:rsidRDefault="00213C57" w:rsidP="00FA6D98">
            <w:pPr>
              <w:pStyle w:val="a5"/>
              <w:spacing w:before="0" w:after="0" w:line="240" w:lineRule="auto"/>
              <w:ind w:left="0" w:firstLine="0"/>
              <w:rPr>
                <w:color w:val="000000"/>
                <w:sz w:val="20"/>
              </w:rPr>
            </w:pPr>
          </w:p>
        </w:tc>
        <w:tc>
          <w:tcPr>
            <w:tcW w:w="2594" w:type="dxa"/>
          </w:tcPr>
          <w:p w:rsidR="00213C57" w:rsidRPr="00BE5E65" w:rsidRDefault="00213C57" w:rsidP="00FA6D98">
            <w:pPr>
              <w:pStyle w:val="a5"/>
              <w:spacing w:before="0" w:after="0" w:line="240" w:lineRule="auto"/>
              <w:ind w:left="0" w:firstLine="0"/>
              <w:rPr>
                <w:color w:val="000000"/>
                <w:sz w:val="20"/>
              </w:rPr>
            </w:pPr>
          </w:p>
        </w:tc>
        <w:tc>
          <w:tcPr>
            <w:tcW w:w="2403" w:type="dxa"/>
          </w:tcPr>
          <w:p w:rsidR="00213C57" w:rsidRPr="00BE5E65" w:rsidRDefault="00213C57" w:rsidP="00FA6D98">
            <w:pPr>
              <w:pStyle w:val="a5"/>
              <w:spacing w:before="0" w:after="0" w:line="240" w:lineRule="auto"/>
              <w:ind w:left="0" w:firstLine="0"/>
              <w:rPr>
                <w:color w:val="000000"/>
                <w:sz w:val="20"/>
              </w:rPr>
            </w:pPr>
          </w:p>
        </w:tc>
      </w:tr>
    </w:tbl>
    <w:p w:rsidR="00044F07" w:rsidRDefault="00044F07" w:rsidP="00044F07">
      <w:pPr>
        <w:spacing w:before="0" w:after="0"/>
        <w:rPr>
          <w:rFonts w:eastAsiaTheme="minorEastAsia"/>
          <w:noProof/>
        </w:rPr>
      </w:pPr>
    </w:p>
    <w:p w:rsidR="004D6314" w:rsidRPr="0062097A" w:rsidRDefault="004D6314" w:rsidP="004D6314">
      <w:pPr>
        <w:tabs>
          <w:tab w:val="left" w:pos="6237"/>
        </w:tabs>
        <w:spacing w:after="0"/>
        <w:rPr>
          <w:b/>
        </w:rPr>
      </w:pPr>
      <w:r w:rsidRPr="0062097A">
        <w:rPr>
          <w:b/>
        </w:rPr>
        <w:t>Техническое задание разработал:</w:t>
      </w:r>
    </w:p>
    <w:tbl>
      <w:tblPr>
        <w:tblW w:w="17619" w:type="dxa"/>
        <w:tblLayout w:type="fixed"/>
        <w:tblLook w:val="04A0" w:firstRow="1" w:lastRow="0" w:firstColumn="1" w:lastColumn="0" w:noHBand="0" w:noVBand="1"/>
      </w:tblPr>
      <w:tblGrid>
        <w:gridCol w:w="10307"/>
        <w:gridCol w:w="5024"/>
        <w:gridCol w:w="301"/>
        <w:gridCol w:w="1987"/>
      </w:tblGrid>
      <w:tr w:rsidR="004D6314" w:rsidRPr="00122C33" w:rsidTr="008906DC">
        <w:trPr>
          <w:trHeight w:val="254"/>
        </w:trPr>
        <w:tc>
          <w:tcPr>
            <w:tcW w:w="8072" w:type="dxa"/>
            <w:shd w:val="clear" w:color="auto" w:fill="auto"/>
            <w:noWrap/>
            <w:hideMark/>
          </w:tcPr>
          <w:p w:rsidR="004D6314" w:rsidRDefault="004D6314" w:rsidP="008906DC">
            <w:pPr>
              <w:rPr>
                <w:i/>
                <w:iCs/>
              </w:rPr>
            </w:pPr>
            <w:r>
              <w:rPr>
                <w:i/>
                <w:iCs/>
              </w:rPr>
              <w:t xml:space="preserve">Главный специалист по работе с кредитными организациями </w:t>
            </w:r>
          </w:p>
          <w:p w:rsidR="004D6314" w:rsidRPr="00122C33" w:rsidRDefault="004D6314" w:rsidP="008906DC">
            <w:r>
              <w:rPr>
                <w:i/>
                <w:iCs/>
              </w:rPr>
              <w:t>и корпоративному   страхованию</w:t>
            </w:r>
          </w:p>
        </w:tc>
        <w:tc>
          <w:tcPr>
            <w:tcW w:w="3935" w:type="dxa"/>
            <w:shd w:val="clear" w:color="auto" w:fill="auto"/>
            <w:noWrap/>
            <w:vAlign w:val="bottom"/>
            <w:hideMark/>
          </w:tcPr>
          <w:p w:rsidR="004D6314" w:rsidRPr="00921E5C" w:rsidRDefault="004D6314" w:rsidP="008906DC">
            <w:pPr>
              <w:spacing w:after="0"/>
              <w:rPr>
                <w:i/>
                <w:sz w:val="20"/>
                <w:szCs w:val="20"/>
              </w:rPr>
            </w:pPr>
            <w:r>
              <w:t xml:space="preserve"> </w:t>
            </w:r>
            <w:r w:rsidRPr="00DE0504">
              <w:rPr>
                <w:i/>
              </w:rPr>
              <w:t>________________/</w:t>
            </w:r>
            <w:r>
              <w:rPr>
                <w:u w:val="single"/>
              </w:rPr>
              <w:t>Пизниченко Н.С</w:t>
            </w:r>
            <w:r w:rsidRPr="00420F8C">
              <w:rPr>
                <w:i/>
                <w:u w:val="single"/>
              </w:rPr>
              <w:t>./</w:t>
            </w:r>
            <w:r w:rsidRPr="00921E5C">
              <w:rPr>
                <w:i/>
                <w:sz w:val="20"/>
                <w:szCs w:val="20"/>
              </w:rPr>
              <w:t xml:space="preserve">                                                       </w:t>
            </w:r>
          </w:p>
          <w:p w:rsidR="004D6314" w:rsidRPr="00921E5C" w:rsidRDefault="004D6314" w:rsidP="008906DC">
            <w:pPr>
              <w:spacing w:after="0"/>
              <w:rPr>
                <w:i/>
                <w:sz w:val="20"/>
                <w:szCs w:val="20"/>
              </w:rPr>
            </w:pPr>
            <w:r>
              <w:rPr>
                <w:i/>
                <w:sz w:val="20"/>
                <w:szCs w:val="20"/>
              </w:rPr>
              <w:t xml:space="preserve">         </w:t>
            </w:r>
            <w:r w:rsidRPr="00921E5C">
              <w:rPr>
                <w:i/>
                <w:sz w:val="20"/>
                <w:szCs w:val="20"/>
              </w:rPr>
              <w:t xml:space="preserve"> (подпись)                          (Ф.И.О.)</w:t>
            </w:r>
          </w:p>
          <w:p w:rsidR="004D6314" w:rsidRPr="00044F07" w:rsidRDefault="004D6314" w:rsidP="008906DC">
            <w:pPr>
              <w:pStyle w:val="a6"/>
              <w:spacing w:before="0" w:after="0"/>
              <w:ind w:left="757" w:firstLine="0"/>
              <w:rPr>
                <w:bCs/>
              </w:rPr>
            </w:pPr>
          </w:p>
          <w:p w:rsidR="004D6314" w:rsidRPr="00122C33" w:rsidRDefault="004D6314" w:rsidP="008906DC">
            <w:pPr>
              <w:ind w:firstLine="0"/>
            </w:pPr>
          </w:p>
        </w:tc>
        <w:tc>
          <w:tcPr>
            <w:tcW w:w="236" w:type="dxa"/>
            <w:shd w:val="clear" w:color="auto" w:fill="auto"/>
            <w:noWrap/>
            <w:vAlign w:val="bottom"/>
            <w:hideMark/>
          </w:tcPr>
          <w:p w:rsidR="004D6314" w:rsidRPr="00122C33" w:rsidRDefault="004D6314" w:rsidP="008906DC"/>
        </w:tc>
        <w:tc>
          <w:tcPr>
            <w:tcW w:w="1556" w:type="dxa"/>
            <w:shd w:val="clear" w:color="auto" w:fill="auto"/>
            <w:noWrap/>
            <w:vAlign w:val="bottom"/>
            <w:hideMark/>
          </w:tcPr>
          <w:p w:rsidR="004D6314" w:rsidRPr="00122C33" w:rsidRDefault="004D6314" w:rsidP="008906DC"/>
        </w:tc>
      </w:tr>
    </w:tbl>
    <w:p w:rsidR="004D6314" w:rsidRPr="00036DD6" w:rsidRDefault="004D6314" w:rsidP="004D6314">
      <w:pPr>
        <w:spacing w:after="0"/>
        <w:rPr>
          <w:b/>
          <w:color w:val="000000"/>
        </w:rPr>
      </w:pPr>
      <w:r w:rsidRPr="00DE0504">
        <w:rPr>
          <w:b/>
          <w:color w:val="000000"/>
        </w:rPr>
        <w:t>Согласовано:</w:t>
      </w:r>
    </w:p>
    <w:p w:rsidR="004D6314" w:rsidRPr="00921E5C" w:rsidRDefault="004D6314" w:rsidP="004D6314">
      <w:pPr>
        <w:rPr>
          <w:i/>
          <w:sz w:val="20"/>
          <w:szCs w:val="20"/>
        </w:rPr>
      </w:pPr>
      <w:r>
        <w:rPr>
          <w:i/>
          <w:iCs/>
        </w:rPr>
        <w:t>Начальник управления экономики и финансов</w:t>
      </w:r>
      <w:r w:rsidRPr="00122C33">
        <w:rPr>
          <w:i/>
          <w:iCs/>
        </w:rPr>
        <w:t xml:space="preserve"> </w:t>
      </w:r>
      <w:r>
        <w:rPr>
          <w:i/>
          <w:iCs/>
        </w:rPr>
        <w:t xml:space="preserve">                                                                                 </w:t>
      </w:r>
      <w:r w:rsidRPr="00DE0504">
        <w:rPr>
          <w:i/>
        </w:rPr>
        <w:tab/>
        <w:t>___________________/</w:t>
      </w:r>
      <w:bookmarkStart w:id="26" w:name="OLE_LINK41"/>
      <w:bookmarkStart w:id="27" w:name="OLE_LINK42"/>
      <w:bookmarkStart w:id="28" w:name="OLE_LINK43"/>
      <w:bookmarkStart w:id="29" w:name="OLE_LINK123"/>
      <w:bookmarkStart w:id="30" w:name="OLE_LINK124"/>
      <w:r>
        <w:rPr>
          <w:u w:val="single"/>
        </w:rPr>
        <w:t>Семикин</w:t>
      </w:r>
      <w:r w:rsidRPr="00420F8C">
        <w:rPr>
          <w:u w:val="single"/>
        </w:rPr>
        <w:t xml:space="preserve"> А.</w:t>
      </w:r>
      <w:bookmarkEnd w:id="26"/>
      <w:bookmarkEnd w:id="27"/>
      <w:bookmarkEnd w:id="28"/>
      <w:bookmarkEnd w:id="29"/>
      <w:bookmarkEnd w:id="30"/>
      <w:r>
        <w:rPr>
          <w:u w:val="single"/>
        </w:rPr>
        <w:t>Н</w:t>
      </w:r>
      <w:r w:rsidRPr="00420F8C">
        <w:rPr>
          <w:i/>
          <w:u w:val="single"/>
        </w:rPr>
        <w:t>./</w:t>
      </w:r>
      <w:r w:rsidRPr="00921E5C">
        <w:rPr>
          <w:i/>
          <w:sz w:val="20"/>
          <w:szCs w:val="20"/>
        </w:rPr>
        <w:t xml:space="preserve">                                                       </w:t>
      </w:r>
    </w:p>
    <w:p w:rsidR="004D6314" w:rsidRPr="00220E61" w:rsidRDefault="004D6314" w:rsidP="004D6314">
      <w:pPr>
        <w:spacing w:after="0"/>
        <w:rPr>
          <w:i/>
          <w:sz w:val="20"/>
          <w:szCs w:val="20"/>
        </w:rPr>
      </w:pPr>
      <w:r w:rsidRPr="00921E5C">
        <w:rPr>
          <w:i/>
          <w:sz w:val="20"/>
          <w:szCs w:val="20"/>
        </w:rPr>
        <w:t xml:space="preserve">                                                                             </w:t>
      </w:r>
      <w:r w:rsidRPr="00921E5C">
        <w:rPr>
          <w:i/>
          <w:sz w:val="20"/>
          <w:szCs w:val="20"/>
        </w:rPr>
        <w:tab/>
      </w:r>
      <w:r>
        <w:rPr>
          <w:i/>
          <w:sz w:val="20"/>
          <w:szCs w:val="20"/>
        </w:rPr>
        <w:tab/>
      </w:r>
      <w:r>
        <w:rPr>
          <w:i/>
          <w:sz w:val="20"/>
          <w:szCs w:val="20"/>
        </w:rPr>
        <w:tab/>
      </w:r>
      <w:r>
        <w:rPr>
          <w:i/>
          <w:sz w:val="20"/>
          <w:szCs w:val="20"/>
        </w:rPr>
        <w:tab/>
      </w:r>
      <w:r>
        <w:rPr>
          <w:i/>
          <w:sz w:val="20"/>
          <w:szCs w:val="20"/>
        </w:rPr>
        <w:tab/>
      </w:r>
      <w:r>
        <w:rPr>
          <w:i/>
          <w:sz w:val="20"/>
          <w:szCs w:val="20"/>
        </w:rPr>
        <w:tab/>
      </w:r>
      <w:r>
        <w:rPr>
          <w:i/>
          <w:sz w:val="20"/>
          <w:szCs w:val="20"/>
        </w:rPr>
        <w:tab/>
      </w:r>
      <w:r>
        <w:rPr>
          <w:i/>
          <w:sz w:val="20"/>
          <w:szCs w:val="20"/>
        </w:rPr>
        <w:tab/>
      </w:r>
      <w:r>
        <w:rPr>
          <w:i/>
          <w:sz w:val="20"/>
          <w:szCs w:val="20"/>
        </w:rPr>
        <w:tab/>
      </w:r>
      <w:r w:rsidRPr="00921E5C">
        <w:rPr>
          <w:i/>
          <w:sz w:val="20"/>
          <w:szCs w:val="20"/>
        </w:rPr>
        <w:tab/>
      </w:r>
      <w:r>
        <w:rPr>
          <w:i/>
          <w:sz w:val="20"/>
          <w:szCs w:val="20"/>
        </w:rPr>
        <w:t xml:space="preserve">                  </w:t>
      </w:r>
      <w:r w:rsidRPr="00921E5C">
        <w:rPr>
          <w:i/>
          <w:sz w:val="20"/>
          <w:szCs w:val="20"/>
        </w:rPr>
        <w:t>(подпись)                          (Ф.И.О.)</w:t>
      </w:r>
    </w:p>
    <w:p w:rsidR="004D6314" w:rsidRPr="00D113D4" w:rsidRDefault="004D6314" w:rsidP="004D6314">
      <w:pPr>
        <w:tabs>
          <w:tab w:val="left" w:pos="6237"/>
        </w:tabs>
        <w:spacing w:after="0"/>
        <w:rPr>
          <w:sz w:val="20"/>
          <w:szCs w:val="20"/>
        </w:rPr>
      </w:pPr>
    </w:p>
    <w:p w:rsidR="00044F07" w:rsidRPr="00D113D4" w:rsidRDefault="00044F07" w:rsidP="004D6314">
      <w:pPr>
        <w:tabs>
          <w:tab w:val="left" w:pos="6237"/>
        </w:tabs>
        <w:spacing w:after="0"/>
        <w:rPr>
          <w:sz w:val="20"/>
          <w:szCs w:val="20"/>
        </w:rPr>
      </w:pPr>
    </w:p>
    <w:sectPr w:rsidR="00044F07" w:rsidRPr="00D113D4" w:rsidSect="00B251EB">
      <w:headerReference w:type="default" r:id="rId8"/>
      <w:pgSz w:w="16838" w:h="11906" w:orient="landscape"/>
      <w:pgMar w:top="567" w:right="851" w:bottom="567" w:left="102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2405" w:rsidRDefault="00A02405" w:rsidP="00B251EB">
      <w:pPr>
        <w:spacing w:before="0" w:after="0"/>
      </w:pPr>
      <w:r>
        <w:separator/>
      </w:r>
    </w:p>
  </w:endnote>
  <w:endnote w:type="continuationSeparator" w:id="0">
    <w:p w:rsidR="00A02405" w:rsidRDefault="00A02405" w:rsidP="00B251E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2405" w:rsidRDefault="00A02405" w:rsidP="00B251EB">
      <w:pPr>
        <w:spacing w:before="0" w:after="0"/>
      </w:pPr>
      <w:r>
        <w:separator/>
      </w:r>
    </w:p>
  </w:footnote>
  <w:footnote w:type="continuationSeparator" w:id="0">
    <w:p w:rsidR="00A02405" w:rsidRDefault="00A02405" w:rsidP="00B251E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71946"/>
      <w:docPartObj>
        <w:docPartGallery w:val="Page Numbers (Top of Page)"/>
        <w:docPartUnique/>
      </w:docPartObj>
    </w:sdtPr>
    <w:sdtEndPr/>
    <w:sdtContent>
      <w:p w:rsidR="00B251EB" w:rsidRDefault="006117F0">
        <w:pPr>
          <w:pStyle w:val="a7"/>
          <w:jc w:val="right"/>
        </w:pPr>
        <w:r>
          <w:fldChar w:fldCharType="begin"/>
        </w:r>
        <w:r w:rsidR="008D74EA">
          <w:instrText xml:space="preserve"> PAGE   \* MERGEFORMAT </w:instrText>
        </w:r>
        <w:r>
          <w:fldChar w:fldCharType="separate"/>
        </w:r>
        <w:r w:rsidR="00661782">
          <w:rPr>
            <w:noProof/>
          </w:rPr>
          <w:t>5</w:t>
        </w:r>
        <w:r>
          <w:rPr>
            <w:noProof/>
          </w:rPr>
          <w:fldChar w:fldCharType="end"/>
        </w:r>
      </w:p>
    </w:sdtContent>
  </w:sdt>
  <w:p w:rsidR="00B251EB" w:rsidRDefault="00B251E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B1EC9"/>
    <w:multiLevelType w:val="hybridMultilevel"/>
    <w:tmpl w:val="84DC93CC"/>
    <w:lvl w:ilvl="0" w:tplc="AF48FA06">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 w15:restartNumberingAfterBreak="0">
    <w:nsid w:val="0DA94A06"/>
    <w:multiLevelType w:val="hybridMultilevel"/>
    <w:tmpl w:val="D8FA7B0A"/>
    <w:lvl w:ilvl="0" w:tplc="6F92B232">
      <w:start w:val="8"/>
      <w:numFmt w:val="bullet"/>
      <w:lvlText w:val="•"/>
      <w:lvlJc w:val="left"/>
      <w:pPr>
        <w:ind w:left="757" w:hanging="360"/>
      </w:pPr>
      <w:rPr>
        <w:rFonts w:ascii="Times New Roman" w:eastAsia="Times New Roman" w:hAnsi="Times New Roman" w:cs="Times New Roman" w:hint="default"/>
      </w:rPr>
    </w:lvl>
    <w:lvl w:ilvl="1" w:tplc="04190003" w:tentative="1">
      <w:start w:val="1"/>
      <w:numFmt w:val="bullet"/>
      <w:lvlText w:val="o"/>
      <w:lvlJc w:val="left"/>
      <w:pPr>
        <w:ind w:left="1477" w:hanging="360"/>
      </w:pPr>
      <w:rPr>
        <w:rFonts w:ascii="Courier New" w:hAnsi="Courier New" w:cs="Courier New" w:hint="default"/>
      </w:rPr>
    </w:lvl>
    <w:lvl w:ilvl="2" w:tplc="04190005" w:tentative="1">
      <w:start w:val="1"/>
      <w:numFmt w:val="bullet"/>
      <w:lvlText w:val=""/>
      <w:lvlJc w:val="left"/>
      <w:pPr>
        <w:ind w:left="2197" w:hanging="360"/>
      </w:pPr>
      <w:rPr>
        <w:rFonts w:ascii="Wingdings" w:hAnsi="Wingdings" w:hint="default"/>
      </w:rPr>
    </w:lvl>
    <w:lvl w:ilvl="3" w:tplc="04190001" w:tentative="1">
      <w:start w:val="1"/>
      <w:numFmt w:val="bullet"/>
      <w:lvlText w:val=""/>
      <w:lvlJc w:val="left"/>
      <w:pPr>
        <w:ind w:left="2917" w:hanging="360"/>
      </w:pPr>
      <w:rPr>
        <w:rFonts w:ascii="Symbol" w:hAnsi="Symbol" w:hint="default"/>
      </w:rPr>
    </w:lvl>
    <w:lvl w:ilvl="4" w:tplc="04190003" w:tentative="1">
      <w:start w:val="1"/>
      <w:numFmt w:val="bullet"/>
      <w:lvlText w:val="o"/>
      <w:lvlJc w:val="left"/>
      <w:pPr>
        <w:ind w:left="3637" w:hanging="360"/>
      </w:pPr>
      <w:rPr>
        <w:rFonts w:ascii="Courier New" w:hAnsi="Courier New" w:cs="Courier New" w:hint="default"/>
      </w:rPr>
    </w:lvl>
    <w:lvl w:ilvl="5" w:tplc="04190005" w:tentative="1">
      <w:start w:val="1"/>
      <w:numFmt w:val="bullet"/>
      <w:lvlText w:val=""/>
      <w:lvlJc w:val="left"/>
      <w:pPr>
        <w:ind w:left="4357" w:hanging="360"/>
      </w:pPr>
      <w:rPr>
        <w:rFonts w:ascii="Wingdings" w:hAnsi="Wingdings" w:hint="default"/>
      </w:rPr>
    </w:lvl>
    <w:lvl w:ilvl="6" w:tplc="04190001" w:tentative="1">
      <w:start w:val="1"/>
      <w:numFmt w:val="bullet"/>
      <w:lvlText w:val=""/>
      <w:lvlJc w:val="left"/>
      <w:pPr>
        <w:ind w:left="5077" w:hanging="360"/>
      </w:pPr>
      <w:rPr>
        <w:rFonts w:ascii="Symbol" w:hAnsi="Symbol" w:hint="default"/>
      </w:rPr>
    </w:lvl>
    <w:lvl w:ilvl="7" w:tplc="04190003" w:tentative="1">
      <w:start w:val="1"/>
      <w:numFmt w:val="bullet"/>
      <w:lvlText w:val="o"/>
      <w:lvlJc w:val="left"/>
      <w:pPr>
        <w:ind w:left="5797" w:hanging="360"/>
      </w:pPr>
      <w:rPr>
        <w:rFonts w:ascii="Courier New" w:hAnsi="Courier New" w:cs="Courier New" w:hint="default"/>
      </w:rPr>
    </w:lvl>
    <w:lvl w:ilvl="8" w:tplc="04190005" w:tentative="1">
      <w:start w:val="1"/>
      <w:numFmt w:val="bullet"/>
      <w:lvlText w:val=""/>
      <w:lvlJc w:val="left"/>
      <w:pPr>
        <w:ind w:left="6517" w:hanging="360"/>
      </w:pPr>
      <w:rPr>
        <w:rFonts w:ascii="Wingdings" w:hAnsi="Wingdings" w:hint="default"/>
      </w:rPr>
    </w:lvl>
  </w:abstractNum>
  <w:abstractNum w:abstractNumId="2" w15:restartNumberingAfterBreak="0">
    <w:nsid w:val="0E074929"/>
    <w:multiLevelType w:val="hybridMultilevel"/>
    <w:tmpl w:val="C7BACDF6"/>
    <w:lvl w:ilvl="0" w:tplc="8CF4D266">
      <w:start w:val="1"/>
      <w:numFmt w:val="decimal"/>
      <w:lvlText w:val="6.%1."/>
      <w:lvlJc w:val="left"/>
      <w:pPr>
        <w:tabs>
          <w:tab w:val="num" w:pos="2912"/>
        </w:tabs>
        <w:ind w:left="291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0BE0380"/>
    <w:multiLevelType w:val="hybridMultilevel"/>
    <w:tmpl w:val="F1EEEAC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0D438D7"/>
    <w:multiLevelType w:val="hybridMultilevel"/>
    <w:tmpl w:val="A05441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B160D1"/>
    <w:multiLevelType w:val="hybridMultilevel"/>
    <w:tmpl w:val="E920EDD4"/>
    <w:lvl w:ilvl="0" w:tplc="0419000F">
      <w:start w:val="1"/>
      <w:numFmt w:val="decimal"/>
      <w:lvlText w:val="%1."/>
      <w:lvlJc w:val="left"/>
      <w:pPr>
        <w:ind w:left="1117" w:hanging="360"/>
      </w:p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6" w15:restartNumberingAfterBreak="0">
    <w:nsid w:val="173D4609"/>
    <w:multiLevelType w:val="hybridMultilevel"/>
    <w:tmpl w:val="A26EE3F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CC60C1D"/>
    <w:multiLevelType w:val="hybridMultilevel"/>
    <w:tmpl w:val="DFB49A9C"/>
    <w:lvl w:ilvl="0" w:tplc="0D861CC4">
      <w:start w:val="1"/>
      <w:numFmt w:val="bullet"/>
      <w:lvlText w:val=""/>
      <w:lvlJc w:val="left"/>
      <w:pPr>
        <w:ind w:left="720" w:hanging="360"/>
      </w:pPr>
      <w:rPr>
        <w:rFonts w:ascii="Symbol" w:hAnsi="Symbol" w:hint="default"/>
        <w:color w:val="548DD4"/>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3E37507"/>
    <w:multiLevelType w:val="hybridMultilevel"/>
    <w:tmpl w:val="A5842604"/>
    <w:lvl w:ilvl="0" w:tplc="DBF61D78">
      <w:start w:val="1"/>
      <w:numFmt w:val="bullet"/>
      <w:lvlText w:val=""/>
      <w:lvlJc w:val="left"/>
      <w:pPr>
        <w:ind w:left="720" w:hanging="360"/>
      </w:pPr>
      <w:rPr>
        <w:rFonts w:ascii="Symbol" w:hAnsi="Symbol" w:hint="default"/>
        <w:color w:val="4F81BD"/>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AC21B38"/>
    <w:multiLevelType w:val="hybridMultilevel"/>
    <w:tmpl w:val="0EDE9FBA"/>
    <w:lvl w:ilvl="0" w:tplc="93DAB15A">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0" w15:restartNumberingAfterBreak="0">
    <w:nsid w:val="2C21381B"/>
    <w:multiLevelType w:val="hybridMultilevel"/>
    <w:tmpl w:val="2856EEF0"/>
    <w:lvl w:ilvl="0" w:tplc="DBF61D78">
      <w:start w:val="1"/>
      <w:numFmt w:val="bullet"/>
      <w:lvlText w:val=""/>
      <w:lvlJc w:val="left"/>
      <w:pPr>
        <w:ind w:left="720" w:hanging="360"/>
      </w:pPr>
      <w:rPr>
        <w:rFonts w:ascii="Symbol" w:hAnsi="Symbol" w:hint="default"/>
        <w:color w:val="4F81BD"/>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198494C"/>
    <w:multiLevelType w:val="hybridMultilevel"/>
    <w:tmpl w:val="61A0B23C"/>
    <w:lvl w:ilvl="0" w:tplc="0D861CC4">
      <w:start w:val="1"/>
      <w:numFmt w:val="bullet"/>
      <w:lvlText w:val=""/>
      <w:lvlJc w:val="left"/>
      <w:pPr>
        <w:ind w:left="720" w:hanging="360"/>
      </w:pPr>
      <w:rPr>
        <w:rFonts w:ascii="Symbol" w:hAnsi="Symbol" w:hint="default"/>
        <w:color w:val="548DD4"/>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4584EB2"/>
    <w:multiLevelType w:val="hybridMultilevel"/>
    <w:tmpl w:val="80FCA5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8A13BEC"/>
    <w:multiLevelType w:val="singleLevel"/>
    <w:tmpl w:val="FE78064E"/>
    <w:lvl w:ilvl="0">
      <w:start w:val="1"/>
      <w:numFmt w:val="bullet"/>
      <w:lvlText w:val=""/>
      <w:lvlJc w:val="left"/>
      <w:pPr>
        <w:tabs>
          <w:tab w:val="num" w:pos="360"/>
        </w:tabs>
        <w:ind w:left="360" w:hanging="360"/>
      </w:pPr>
      <w:rPr>
        <w:rFonts w:ascii="Symbol" w:hAnsi="Symbol" w:hint="default"/>
        <w:color w:val="8DB3E2"/>
        <w:sz w:val="20"/>
        <w:szCs w:val="20"/>
      </w:rPr>
    </w:lvl>
  </w:abstractNum>
  <w:abstractNum w:abstractNumId="14" w15:restartNumberingAfterBreak="0">
    <w:nsid w:val="3BEE5597"/>
    <w:multiLevelType w:val="hybridMultilevel"/>
    <w:tmpl w:val="739C9430"/>
    <w:lvl w:ilvl="0" w:tplc="0D861CC4">
      <w:start w:val="1"/>
      <w:numFmt w:val="bullet"/>
      <w:lvlText w:val=""/>
      <w:lvlJc w:val="left"/>
      <w:pPr>
        <w:ind w:left="720" w:hanging="360"/>
      </w:pPr>
      <w:rPr>
        <w:rFonts w:ascii="Symbol" w:hAnsi="Symbol" w:hint="default"/>
        <w:color w:val="548DD4"/>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CFA75CE"/>
    <w:multiLevelType w:val="hybridMultilevel"/>
    <w:tmpl w:val="42AA06AC"/>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400716B4"/>
    <w:multiLevelType w:val="hybridMultilevel"/>
    <w:tmpl w:val="76E6D9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A8B031C"/>
    <w:multiLevelType w:val="hybridMultilevel"/>
    <w:tmpl w:val="E20C7B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ABD7B17"/>
    <w:multiLevelType w:val="hybridMultilevel"/>
    <w:tmpl w:val="EC96D2A8"/>
    <w:lvl w:ilvl="0" w:tplc="6F92B232">
      <w:start w:val="8"/>
      <w:numFmt w:val="bullet"/>
      <w:lvlText w:val="•"/>
      <w:lvlJc w:val="left"/>
      <w:pPr>
        <w:ind w:left="75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0BA3239"/>
    <w:multiLevelType w:val="multilevel"/>
    <w:tmpl w:val="0136AC9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A036444"/>
    <w:multiLevelType w:val="hybridMultilevel"/>
    <w:tmpl w:val="B25AB610"/>
    <w:lvl w:ilvl="0" w:tplc="DBF61D78">
      <w:start w:val="1"/>
      <w:numFmt w:val="bullet"/>
      <w:lvlText w:val=""/>
      <w:lvlJc w:val="left"/>
      <w:pPr>
        <w:ind w:left="2160" w:hanging="360"/>
      </w:pPr>
      <w:rPr>
        <w:rFonts w:ascii="Symbol" w:hAnsi="Symbol" w:hint="default"/>
        <w:color w:val="4F81BD"/>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1" w15:restartNumberingAfterBreak="0">
    <w:nsid w:val="5BD66E6A"/>
    <w:multiLevelType w:val="hybridMultilevel"/>
    <w:tmpl w:val="CF162AB4"/>
    <w:lvl w:ilvl="0" w:tplc="D0E6967E">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22" w15:restartNumberingAfterBreak="0">
    <w:nsid w:val="7A5C5C65"/>
    <w:multiLevelType w:val="hybridMultilevel"/>
    <w:tmpl w:val="C26C4B1E"/>
    <w:lvl w:ilvl="0" w:tplc="6F92B232">
      <w:start w:val="8"/>
      <w:numFmt w:val="bullet"/>
      <w:lvlText w:val="•"/>
      <w:lvlJc w:val="left"/>
      <w:pPr>
        <w:ind w:left="1154" w:hanging="360"/>
      </w:pPr>
      <w:rPr>
        <w:rFonts w:ascii="Times New Roman" w:eastAsia="Times New Roman" w:hAnsi="Times New Roman" w:cs="Times New Roman"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num w:numId="1">
    <w:abstractNumId w:val="2"/>
  </w:num>
  <w:num w:numId="2">
    <w:abstractNumId w:val="19"/>
  </w:num>
  <w:num w:numId="3">
    <w:abstractNumId w:val="5"/>
  </w:num>
  <w:num w:numId="4">
    <w:abstractNumId w:val="9"/>
  </w:num>
  <w:num w:numId="5">
    <w:abstractNumId w:val="4"/>
  </w:num>
  <w:num w:numId="6">
    <w:abstractNumId w:val="1"/>
  </w:num>
  <w:num w:numId="7">
    <w:abstractNumId w:val="18"/>
  </w:num>
  <w:num w:numId="8">
    <w:abstractNumId w:val="22"/>
  </w:num>
  <w:num w:numId="9">
    <w:abstractNumId w:val="7"/>
  </w:num>
  <w:num w:numId="10">
    <w:abstractNumId w:val="17"/>
  </w:num>
  <w:num w:numId="11">
    <w:abstractNumId w:val="6"/>
  </w:num>
  <w:num w:numId="12">
    <w:abstractNumId w:val="13"/>
  </w:num>
  <w:num w:numId="13">
    <w:abstractNumId w:val="12"/>
  </w:num>
  <w:num w:numId="14">
    <w:abstractNumId w:val="14"/>
  </w:num>
  <w:num w:numId="15">
    <w:abstractNumId w:val="11"/>
  </w:num>
  <w:num w:numId="16">
    <w:abstractNumId w:val="0"/>
  </w:num>
  <w:num w:numId="17">
    <w:abstractNumId w:val="8"/>
  </w:num>
  <w:num w:numId="18">
    <w:abstractNumId w:val="3"/>
  </w:num>
  <w:num w:numId="19">
    <w:abstractNumId w:val="20"/>
  </w:num>
  <w:num w:numId="20">
    <w:abstractNumId w:val="16"/>
  </w:num>
  <w:num w:numId="21">
    <w:abstractNumId w:val="10"/>
  </w:num>
  <w:num w:numId="22">
    <w:abstractNumId w:val="15"/>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A6D98"/>
    <w:rsid w:val="00011510"/>
    <w:rsid w:val="000169F8"/>
    <w:rsid w:val="00044F07"/>
    <w:rsid w:val="00054449"/>
    <w:rsid w:val="00072DE4"/>
    <w:rsid w:val="000A54DE"/>
    <w:rsid w:val="000C6A18"/>
    <w:rsid w:val="000F5876"/>
    <w:rsid w:val="00160224"/>
    <w:rsid w:val="001D6987"/>
    <w:rsid w:val="002008CB"/>
    <w:rsid w:val="00202DFB"/>
    <w:rsid w:val="00205602"/>
    <w:rsid w:val="00213C57"/>
    <w:rsid w:val="0024296C"/>
    <w:rsid w:val="00244D18"/>
    <w:rsid w:val="002857F2"/>
    <w:rsid w:val="00345F1C"/>
    <w:rsid w:val="003D767E"/>
    <w:rsid w:val="004175A9"/>
    <w:rsid w:val="00420F8C"/>
    <w:rsid w:val="00423B9F"/>
    <w:rsid w:val="004518DB"/>
    <w:rsid w:val="0045237D"/>
    <w:rsid w:val="00474F89"/>
    <w:rsid w:val="004873F2"/>
    <w:rsid w:val="004B1F2C"/>
    <w:rsid w:val="004D0021"/>
    <w:rsid w:val="004D2885"/>
    <w:rsid w:val="004D6314"/>
    <w:rsid w:val="004E76EA"/>
    <w:rsid w:val="005401D5"/>
    <w:rsid w:val="006117F0"/>
    <w:rsid w:val="00661782"/>
    <w:rsid w:val="00680255"/>
    <w:rsid w:val="00681A41"/>
    <w:rsid w:val="006A1A4B"/>
    <w:rsid w:val="006E2F7D"/>
    <w:rsid w:val="006F1968"/>
    <w:rsid w:val="00707FDC"/>
    <w:rsid w:val="00752AC9"/>
    <w:rsid w:val="00776388"/>
    <w:rsid w:val="007C7C69"/>
    <w:rsid w:val="007F1EA6"/>
    <w:rsid w:val="008159B5"/>
    <w:rsid w:val="00816338"/>
    <w:rsid w:val="008539E3"/>
    <w:rsid w:val="0088441C"/>
    <w:rsid w:val="008C32EF"/>
    <w:rsid w:val="008D23BA"/>
    <w:rsid w:val="008D74EA"/>
    <w:rsid w:val="008E4D3E"/>
    <w:rsid w:val="00902BFB"/>
    <w:rsid w:val="00914544"/>
    <w:rsid w:val="00926965"/>
    <w:rsid w:val="00933838"/>
    <w:rsid w:val="00953397"/>
    <w:rsid w:val="009844A2"/>
    <w:rsid w:val="009B1D85"/>
    <w:rsid w:val="009C046C"/>
    <w:rsid w:val="009C6935"/>
    <w:rsid w:val="009E5434"/>
    <w:rsid w:val="00A00EC7"/>
    <w:rsid w:val="00A01F6E"/>
    <w:rsid w:val="00A02405"/>
    <w:rsid w:val="00A41AE1"/>
    <w:rsid w:val="00A558C1"/>
    <w:rsid w:val="00A867C7"/>
    <w:rsid w:val="00AD1EBD"/>
    <w:rsid w:val="00AF7C35"/>
    <w:rsid w:val="00B00747"/>
    <w:rsid w:val="00B251EB"/>
    <w:rsid w:val="00B40F89"/>
    <w:rsid w:val="00B650E6"/>
    <w:rsid w:val="00BB75F4"/>
    <w:rsid w:val="00BB76C5"/>
    <w:rsid w:val="00BC1798"/>
    <w:rsid w:val="00BE24A1"/>
    <w:rsid w:val="00BE5E65"/>
    <w:rsid w:val="00C25791"/>
    <w:rsid w:val="00CC4FB1"/>
    <w:rsid w:val="00CE3CDB"/>
    <w:rsid w:val="00D113D4"/>
    <w:rsid w:val="00D149BD"/>
    <w:rsid w:val="00D26C2C"/>
    <w:rsid w:val="00D40135"/>
    <w:rsid w:val="00D47B7A"/>
    <w:rsid w:val="00D66251"/>
    <w:rsid w:val="00D91176"/>
    <w:rsid w:val="00DA4783"/>
    <w:rsid w:val="00DE3155"/>
    <w:rsid w:val="00DF09A7"/>
    <w:rsid w:val="00E13616"/>
    <w:rsid w:val="00E25DCC"/>
    <w:rsid w:val="00E439C0"/>
    <w:rsid w:val="00E653C0"/>
    <w:rsid w:val="00E66456"/>
    <w:rsid w:val="00E82BC1"/>
    <w:rsid w:val="00EA74D9"/>
    <w:rsid w:val="00EC7616"/>
    <w:rsid w:val="00EF7BEF"/>
    <w:rsid w:val="00F53453"/>
    <w:rsid w:val="00F83B2E"/>
    <w:rsid w:val="00F87F55"/>
    <w:rsid w:val="00F94D7D"/>
    <w:rsid w:val="00FA6D98"/>
    <w:rsid w:val="00FB3DE3"/>
    <w:rsid w:val="00FC23F7"/>
    <w:rsid w:val="00FF43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82F45F-A8CA-4083-9D8F-9AE0A7551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6D98"/>
    <w:pPr>
      <w:spacing w:before="120" w:after="120" w:line="240" w:lineRule="auto"/>
      <w:ind w:firstLine="397"/>
      <w:jc w:val="both"/>
    </w:pPr>
    <w:rPr>
      <w:rFonts w:ascii="Times New Roman" w:eastAsia="Times New Roman" w:hAnsi="Times New Roman" w:cs="Times New Roman"/>
      <w:sz w:val="24"/>
      <w:szCs w:val="24"/>
      <w:lang w:eastAsia="ru-RU"/>
    </w:rPr>
  </w:style>
  <w:style w:type="paragraph" w:styleId="2">
    <w:name w:val="heading 2"/>
    <w:basedOn w:val="a"/>
    <w:next w:val="a"/>
    <w:link w:val="20"/>
    <w:qFormat/>
    <w:rsid w:val="00707FDC"/>
    <w:pPr>
      <w:autoSpaceDE w:val="0"/>
      <w:autoSpaceDN w:val="0"/>
      <w:adjustRightInd w:val="0"/>
      <w:spacing w:before="240" w:line="264" w:lineRule="auto"/>
      <w:ind w:firstLine="0"/>
      <w:jc w:val="left"/>
      <w:textAlignment w:val="center"/>
      <w:outlineLvl w:val="1"/>
    </w:pPr>
    <w:rPr>
      <w:rFonts w:ascii="Arial" w:hAnsi="Arial"/>
      <w:color w:val="5EB6E4"/>
      <w:sz w:val="32"/>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A6D9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rsid w:val="00FA6D98"/>
    <w:pPr>
      <w:spacing w:line="480" w:lineRule="auto"/>
    </w:pPr>
    <w:rPr>
      <w:lang w:val="en-US"/>
    </w:rPr>
  </w:style>
  <w:style w:type="character" w:customStyle="1" w:styleId="22">
    <w:name w:val="Основной текст 2 Знак"/>
    <w:basedOn w:val="a0"/>
    <w:link w:val="21"/>
    <w:rsid w:val="00FA6D98"/>
    <w:rPr>
      <w:rFonts w:ascii="Times New Roman" w:eastAsia="Times New Roman" w:hAnsi="Times New Roman" w:cs="Times New Roman"/>
      <w:sz w:val="24"/>
      <w:szCs w:val="24"/>
      <w:lang w:val="en-US" w:eastAsia="ru-RU"/>
    </w:rPr>
  </w:style>
  <w:style w:type="paragraph" w:styleId="a4">
    <w:name w:val="Normal (Web)"/>
    <w:basedOn w:val="a"/>
    <w:rsid w:val="00FA6D98"/>
    <w:pPr>
      <w:suppressAutoHyphens/>
      <w:spacing w:before="100"/>
    </w:pPr>
    <w:rPr>
      <w:rFonts w:eastAsia="MS Mincho"/>
      <w:sz w:val="22"/>
      <w:lang w:val="en-GB" w:eastAsia="ar-SA"/>
    </w:rPr>
  </w:style>
  <w:style w:type="paragraph" w:styleId="a5">
    <w:name w:val="No Spacing"/>
    <w:qFormat/>
    <w:rsid w:val="00FA6D98"/>
    <w:pPr>
      <w:spacing w:before="120" w:after="120" w:line="288" w:lineRule="auto"/>
      <w:ind w:left="397" w:firstLine="567"/>
      <w:jc w:val="both"/>
    </w:pPr>
    <w:rPr>
      <w:rFonts w:ascii="Times New Roman" w:eastAsia="Times New Roman" w:hAnsi="Times New Roman" w:cs="Times New Roman"/>
      <w:sz w:val="24"/>
      <w:szCs w:val="20"/>
      <w:lang w:eastAsia="ru-RU"/>
    </w:rPr>
  </w:style>
  <w:style w:type="paragraph" w:styleId="a6">
    <w:name w:val="List Paragraph"/>
    <w:basedOn w:val="a"/>
    <w:uiPriority w:val="34"/>
    <w:qFormat/>
    <w:rsid w:val="00202DFB"/>
    <w:pPr>
      <w:ind w:left="720"/>
      <w:contextualSpacing/>
    </w:pPr>
  </w:style>
  <w:style w:type="paragraph" w:styleId="a7">
    <w:name w:val="header"/>
    <w:basedOn w:val="a"/>
    <w:link w:val="a8"/>
    <w:uiPriority w:val="99"/>
    <w:unhideWhenUsed/>
    <w:rsid w:val="00B251EB"/>
    <w:pPr>
      <w:tabs>
        <w:tab w:val="center" w:pos="4677"/>
        <w:tab w:val="right" w:pos="9355"/>
      </w:tabs>
      <w:spacing w:before="0" w:after="0"/>
    </w:pPr>
  </w:style>
  <w:style w:type="character" w:customStyle="1" w:styleId="a8">
    <w:name w:val="Верхний колонтитул Знак"/>
    <w:basedOn w:val="a0"/>
    <w:link w:val="a7"/>
    <w:uiPriority w:val="99"/>
    <w:rsid w:val="00B251EB"/>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B251EB"/>
    <w:pPr>
      <w:tabs>
        <w:tab w:val="center" w:pos="4677"/>
        <w:tab w:val="right" w:pos="9355"/>
      </w:tabs>
      <w:spacing w:before="0" w:after="0"/>
    </w:pPr>
  </w:style>
  <w:style w:type="character" w:customStyle="1" w:styleId="aa">
    <w:name w:val="Нижний колонтитул Знак"/>
    <w:basedOn w:val="a0"/>
    <w:link w:val="a9"/>
    <w:uiPriority w:val="99"/>
    <w:semiHidden/>
    <w:rsid w:val="00B251EB"/>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BE24A1"/>
    <w:pPr>
      <w:spacing w:before="0" w:after="0"/>
    </w:pPr>
    <w:rPr>
      <w:rFonts w:ascii="Tahoma" w:hAnsi="Tahoma" w:cs="Tahoma"/>
      <w:sz w:val="16"/>
      <w:szCs w:val="16"/>
    </w:rPr>
  </w:style>
  <w:style w:type="character" w:customStyle="1" w:styleId="ac">
    <w:name w:val="Текст выноски Знак"/>
    <w:basedOn w:val="a0"/>
    <w:link w:val="ab"/>
    <w:uiPriority w:val="99"/>
    <w:semiHidden/>
    <w:rsid w:val="00BE24A1"/>
    <w:rPr>
      <w:rFonts w:ascii="Tahoma" w:eastAsia="Times New Roman" w:hAnsi="Tahoma" w:cs="Tahoma"/>
      <w:sz w:val="16"/>
      <w:szCs w:val="16"/>
      <w:lang w:eastAsia="ru-RU"/>
    </w:rPr>
  </w:style>
  <w:style w:type="character" w:styleId="ad">
    <w:name w:val="annotation reference"/>
    <w:basedOn w:val="a0"/>
    <w:uiPriority w:val="99"/>
    <w:semiHidden/>
    <w:unhideWhenUsed/>
    <w:rsid w:val="00E82BC1"/>
    <w:rPr>
      <w:sz w:val="16"/>
      <w:szCs w:val="16"/>
    </w:rPr>
  </w:style>
  <w:style w:type="paragraph" w:styleId="ae">
    <w:name w:val="annotation text"/>
    <w:basedOn w:val="a"/>
    <w:link w:val="af"/>
    <w:uiPriority w:val="99"/>
    <w:semiHidden/>
    <w:unhideWhenUsed/>
    <w:rsid w:val="00E82BC1"/>
    <w:rPr>
      <w:sz w:val="20"/>
      <w:szCs w:val="20"/>
    </w:rPr>
  </w:style>
  <w:style w:type="character" w:customStyle="1" w:styleId="af">
    <w:name w:val="Текст примечания Знак"/>
    <w:basedOn w:val="a0"/>
    <w:link w:val="ae"/>
    <w:uiPriority w:val="99"/>
    <w:semiHidden/>
    <w:rsid w:val="00E82BC1"/>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E82BC1"/>
    <w:rPr>
      <w:b/>
      <w:bCs/>
    </w:rPr>
  </w:style>
  <w:style w:type="character" w:customStyle="1" w:styleId="af1">
    <w:name w:val="Тема примечания Знак"/>
    <w:basedOn w:val="af"/>
    <w:link w:val="af0"/>
    <w:uiPriority w:val="99"/>
    <w:semiHidden/>
    <w:rsid w:val="00E82BC1"/>
    <w:rPr>
      <w:rFonts w:ascii="Times New Roman" w:eastAsia="Times New Roman" w:hAnsi="Times New Roman" w:cs="Times New Roman"/>
      <w:b/>
      <w:bCs/>
      <w:sz w:val="20"/>
      <w:szCs w:val="20"/>
      <w:lang w:eastAsia="ru-RU"/>
    </w:rPr>
  </w:style>
  <w:style w:type="paragraph" w:customStyle="1" w:styleId="AonBodyCopy">
    <w:name w:val="Aon Body Copy"/>
    <w:basedOn w:val="a"/>
    <w:link w:val="AonBodyCopyChar"/>
    <w:rsid w:val="00AD1EBD"/>
    <w:pPr>
      <w:spacing w:before="0" w:after="240" w:line="264" w:lineRule="auto"/>
      <w:ind w:firstLine="0"/>
      <w:jc w:val="left"/>
    </w:pPr>
    <w:rPr>
      <w:rFonts w:ascii="Arial" w:eastAsia="MS Mincho" w:hAnsi="Arial"/>
      <w:sz w:val="20"/>
      <w:szCs w:val="20"/>
      <w:lang w:val="en-US"/>
    </w:rPr>
  </w:style>
  <w:style w:type="character" w:customStyle="1" w:styleId="AonBodyCopyChar">
    <w:name w:val="Aon Body Copy Char"/>
    <w:link w:val="AonBodyCopy"/>
    <w:rsid w:val="00AD1EBD"/>
    <w:rPr>
      <w:rFonts w:ascii="Arial" w:eastAsia="MS Mincho" w:hAnsi="Arial" w:cs="Times New Roman"/>
      <w:sz w:val="20"/>
      <w:szCs w:val="20"/>
      <w:lang w:val="en-US"/>
    </w:rPr>
  </w:style>
  <w:style w:type="paragraph" w:customStyle="1" w:styleId="Body2">
    <w:name w:val="Body2"/>
    <w:aliases w:val="b2"/>
    <w:basedOn w:val="a"/>
    <w:link w:val="Body2Char"/>
    <w:rsid w:val="00EC7616"/>
    <w:pPr>
      <w:spacing w:before="0" w:after="240"/>
      <w:ind w:left="720" w:firstLine="0"/>
    </w:pPr>
    <w:rPr>
      <w:lang w:val="en-GB"/>
    </w:rPr>
  </w:style>
  <w:style w:type="character" w:customStyle="1" w:styleId="Body2Char">
    <w:name w:val="Body2 Char"/>
    <w:basedOn w:val="a0"/>
    <w:link w:val="Body2"/>
    <w:rsid w:val="00EC7616"/>
    <w:rPr>
      <w:rFonts w:ascii="Times New Roman" w:eastAsia="Times New Roman" w:hAnsi="Times New Roman" w:cs="Times New Roman"/>
      <w:sz w:val="24"/>
      <w:szCs w:val="24"/>
      <w:lang w:val="en-GB"/>
    </w:rPr>
  </w:style>
  <w:style w:type="paragraph" w:customStyle="1" w:styleId="AonBulletCopy">
    <w:name w:val="Aon Bullet Copy"/>
    <w:basedOn w:val="AonBodyCopy"/>
    <w:rsid w:val="00160224"/>
    <w:pPr>
      <w:spacing w:after="120" w:line="240" w:lineRule="auto"/>
    </w:pPr>
    <w:rPr>
      <w:rFonts w:eastAsia="Times New Roman"/>
    </w:rPr>
  </w:style>
  <w:style w:type="paragraph" w:styleId="3">
    <w:name w:val="toc 3"/>
    <w:basedOn w:val="a"/>
    <w:next w:val="a"/>
    <w:uiPriority w:val="39"/>
    <w:rsid w:val="00160224"/>
    <w:pPr>
      <w:tabs>
        <w:tab w:val="right" w:pos="7920"/>
      </w:tabs>
      <w:spacing w:before="0" w:after="0" w:line="480" w:lineRule="auto"/>
      <w:ind w:firstLine="0"/>
      <w:jc w:val="left"/>
    </w:pPr>
    <w:rPr>
      <w:rFonts w:ascii="Arial" w:eastAsia="Times" w:hAnsi="Arial"/>
      <w:sz w:val="20"/>
      <w:szCs w:val="20"/>
      <w:lang w:val="en-US" w:eastAsia="en-US"/>
    </w:rPr>
  </w:style>
  <w:style w:type="character" w:customStyle="1" w:styleId="20">
    <w:name w:val="Заголовок 2 Знак"/>
    <w:basedOn w:val="a0"/>
    <w:link w:val="2"/>
    <w:rsid w:val="00707FDC"/>
    <w:rPr>
      <w:rFonts w:ascii="Arial" w:eastAsia="Times New Roman" w:hAnsi="Arial" w:cs="Times New Roman"/>
      <w:color w:val="5EB6E4"/>
      <w:sz w:val="32"/>
      <w:szCs w:val="20"/>
      <w:lang w:val="en-US"/>
    </w:rPr>
  </w:style>
  <w:style w:type="paragraph" w:customStyle="1" w:styleId="1">
    <w:name w:val="Абзац списка1"/>
    <w:basedOn w:val="a"/>
    <w:rsid w:val="009B1D85"/>
    <w:pPr>
      <w:spacing w:before="0" w:after="200" w:line="276" w:lineRule="auto"/>
      <w:ind w:left="720" w:firstLine="0"/>
      <w:contextualSpacing/>
      <w:jc w:val="left"/>
    </w:pPr>
    <w:rPr>
      <w:rFonts w:ascii="Calibri" w:hAnsi="Calibri"/>
      <w:sz w:val="22"/>
      <w:szCs w:val="22"/>
      <w:lang w:eastAsia="en-US"/>
    </w:rPr>
  </w:style>
  <w:style w:type="paragraph" w:customStyle="1" w:styleId="10">
    <w:name w:val="???????1"/>
    <w:link w:val="11"/>
    <w:rsid w:val="00474F89"/>
    <w:pPr>
      <w:spacing w:after="0" w:line="240" w:lineRule="auto"/>
    </w:pPr>
    <w:rPr>
      <w:rFonts w:ascii="Times New Roman" w:eastAsia="Times New Roman" w:hAnsi="Times New Roman" w:cs="Times New Roman"/>
      <w:sz w:val="20"/>
      <w:szCs w:val="20"/>
      <w:lang w:eastAsia="ru-RU"/>
    </w:rPr>
  </w:style>
  <w:style w:type="character" w:customStyle="1" w:styleId="11">
    <w:name w:val="???????1 Знак"/>
    <w:link w:val="10"/>
    <w:locked/>
    <w:rsid w:val="004D6314"/>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994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6C1D78-1F62-46D1-8800-1EC0F7340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1671</Words>
  <Characters>9525</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l.krasovskaya</dc:creator>
  <cp:lastModifiedBy>Рындина Анастасия Сергеевна</cp:lastModifiedBy>
  <cp:revision>17</cp:revision>
  <cp:lastPrinted>2016-05-30T06:50:00Z</cp:lastPrinted>
  <dcterms:created xsi:type="dcterms:W3CDTF">2016-05-27T02:11:00Z</dcterms:created>
  <dcterms:modified xsi:type="dcterms:W3CDTF">2019-05-21T12:54:00Z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