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927E03" w:rsidRPr="00BE3D5B" w:rsidRDefault="00927E03" w:rsidP="00927E03">
      <w:pPr>
        <w:spacing w:after="12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p w:rsidR="00927E03" w:rsidRDefault="00927E03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Pr="00BE3D5B" w:rsidRDefault="005F6910" w:rsidP="00927E03">
      <w:pPr>
        <w:pStyle w:val="3"/>
        <w:jc w:val="both"/>
        <w:rPr>
          <w:color w:val="000000" w:themeColor="text1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3168"/>
        <w:gridCol w:w="6233"/>
      </w:tblGrid>
      <w:tr w:rsidR="007A75E0" w:rsidRPr="00BE3D5B" w:rsidTr="005F691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5F6910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сводный сметный расчет (ССР) стоимости строительства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 xml:space="preserve">в соответствии с МДС-81-35.2004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A5670F">
              <w:rPr>
                <w:color w:val="000000" w:themeColor="text1"/>
                <w:sz w:val="20"/>
                <w:szCs w:val="20"/>
              </w:rPr>
              <w:t xml:space="preserve"> по статьям затрат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;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E3D5B">
              <w:rPr>
                <w:color w:val="000000" w:themeColor="text1"/>
                <w:sz w:val="20"/>
                <w:szCs w:val="20"/>
              </w:rPr>
              <w:t>объектные сметы</w:t>
            </w:r>
            <w:r w:rsidR="00D62634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>в соответствии с МДС-81-35.2004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86644E" w:rsidRPr="00BE3D5B" w:rsidRDefault="00A5670F" w:rsidP="005F691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локальные сметы в соответствии с МДС-81-35.2004 в сметно-нормативной базе 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Т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ЕР-2001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Краснодарского края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</w:t>
            </w:r>
            <w:r w:rsidR="000774E4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74E4" w:rsidRPr="0082748B">
              <w:rPr>
                <w:sz w:val="20"/>
                <w:szCs w:val="20"/>
              </w:rPr>
              <w:t xml:space="preserve">в текущем уровне цен в рублевом эквиваленте. </w:t>
            </w:r>
            <w:proofErr w:type="gramEnd"/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B44E99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маш-час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7A75E0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44E9A" w:rsidRPr="00BE3D5B" w:rsidRDefault="00D817B8" w:rsidP="00744E9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F50CB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5F6910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E3D5B" w:rsidRPr="00BE3D5B" w:rsidRDefault="007A75E0" w:rsidP="00BE3D5B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5F6910">
            <w:pPr>
              <w:pStyle w:val="Default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</w:t>
            </w:r>
            <w:r w:rsidR="00EC5F4D" w:rsidRPr="00BE3D5B">
              <w:rPr>
                <w:color w:val="000000" w:themeColor="text1"/>
                <w:sz w:val="20"/>
              </w:rPr>
              <w:t>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 РФ), Письмом от 27.11.2012г. № 2536-ИП/12/ГС (Госстрой)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</w:t>
            </w:r>
            <w:r w:rsidR="00EC5F4D" w:rsidRPr="00BE3D5B">
              <w:rPr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7A75E0" w:rsidRPr="00BE3D5B" w:rsidTr="005F6910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BE3D5B" w:rsidRDefault="006D7FF5" w:rsidP="006D7FF5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5F6910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BE3D5B" w:rsidRDefault="00927E03" w:rsidP="008F7946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BE3D5B" w:rsidRDefault="00927E03" w:rsidP="00766A03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5F6910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сметной программе </w:t>
            </w:r>
            <w:r w:rsidRPr="00BE3D5B">
              <w:rPr>
                <w:color w:val="000000" w:themeColor="text1"/>
                <w:sz w:val="20"/>
              </w:rPr>
              <w:t xml:space="preserve">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5F6910" w:rsidRDefault="005F6910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sectPr w:rsidR="005F6910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1CE6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5F22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6787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2F8D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399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47E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6359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46A4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11B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670F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0AD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025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57CCF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693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162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2D7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561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a.ryndina</cp:lastModifiedBy>
  <cp:revision>9</cp:revision>
  <cp:lastPrinted>2016-07-14T12:51:00Z</cp:lastPrinted>
  <dcterms:created xsi:type="dcterms:W3CDTF">2016-07-21T13:32:00Z</dcterms:created>
  <dcterms:modified xsi:type="dcterms:W3CDTF">2016-07-28T11:30:00Z</dcterms:modified>
</cp:coreProperties>
</file>