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EC" w:rsidRDefault="00916AEC" w:rsidP="00916AEC">
      <w:pPr>
        <w:ind w:left="6237"/>
      </w:pPr>
      <w:r>
        <w:t xml:space="preserve">Приложение 2 </w:t>
      </w:r>
    </w:p>
    <w:p w:rsidR="00916AEC" w:rsidRDefault="00916AEC" w:rsidP="00916AEC">
      <w:pPr>
        <w:ind w:left="6237"/>
      </w:pPr>
      <w:r>
        <w:t>к техническому заданию</w:t>
      </w:r>
    </w:p>
    <w:p w:rsidR="00916AEC" w:rsidRPr="006A7DA3" w:rsidRDefault="00916AEC" w:rsidP="00916AE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 xml:space="preserve">Требования для составления сметной документации  </w:t>
      </w:r>
    </w:p>
    <w:p w:rsidR="00916AEC" w:rsidRPr="006A7DA3" w:rsidRDefault="00916AEC" w:rsidP="00916AE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916AEC" w:rsidRPr="006A7DA3" w:rsidTr="00EA4A7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№</w:t>
            </w:r>
          </w:p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68" w:type="dxa"/>
            <w:vAlign w:val="center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916AEC" w:rsidRPr="006A7DA3" w:rsidTr="00EA4A70">
        <w:trPr>
          <w:trHeight w:val="262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16AEC" w:rsidRPr="006A7DA3" w:rsidTr="00EA4A70">
        <w:trPr>
          <w:trHeight w:val="749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  <w:proofErr w:type="gramEnd"/>
          </w:p>
        </w:tc>
      </w:tr>
      <w:tr w:rsidR="00916AEC" w:rsidRPr="006A7DA3" w:rsidTr="00EA4A70">
        <w:trPr>
          <w:trHeight w:val="749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772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определяется по СССЦ/ФГИС. В случаи отсутствия в СССЦ/ФГИС – на основании коммерческ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) поставщик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>.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При этом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сети-Интернет. 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16AEC" w:rsidRPr="006A7DA3" w:rsidTr="00EA4A70">
        <w:trPr>
          <w:trHeight w:val="772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157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определять по СССЦ/ФГИС. В случаи отсутствия в СССЦ/ФГИС – на основании коммерческ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ого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предложения (прайс-лист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поставщика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>(приложен</w:t>
            </w:r>
            <w:r>
              <w:rPr>
                <w:rFonts w:eastAsia="Calibri" w:cs="Times New Roman"/>
                <w:bCs/>
                <w:color w:val="000000"/>
                <w:sz w:val="20"/>
                <w:szCs w:val="20"/>
              </w:rPr>
              <w:t xml:space="preserve">ие № 3 к Техническому заданию), где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263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263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510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350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381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916AEC" w:rsidRPr="006A7DA3" w:rsidRDefault="00916AEC" w:rsidP="00EA4A70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916AEC" w:rsidRPr="006A7DA3" w:rsidRDefault="00916AEC" w:rsidP="00EA4A70">
            <w:pPr>
              <w:ind w:left="2" w:right="8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985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916AEC" w:rsidRPr="006A7DA3" w:rsidRDefault="00916AEC" w:rsidP="00EA4A70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916AEC" w:rsidRPr="006A7DA3" w:rsidTr="00EA4A70">
        <w:trPr>
          <w:trHeight w:val="530"/>
          <w:jc w:val="center"/>
        </w:trPr>
        <w:tc>
          <w:tcPr>
            <w:tcW w:w="598" w:type="dxa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916AEC" w:rsidRPr="006A7DA3" w:rsidRDefault="00916AEC" w:rsidP="00EA4A70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</w:tbl>
    <w:p w:rsidR="00916AEC" w:rsidRDefault="00916AEC" w:rsidP="00916AEC">
      <w:pPr>
        <w:tabs>
          <w:tab w:val="left" w:pos="7300"/>
        </w:tabs>
        <w:jc w:val="center"/>
        <w:rPr>
          <w:rFonts w:eastAsia="Calibri" w:cs="Times New Roman"/>
          <w:b/>
        </w:rPr>
      </w:pPr>
    </w:p>
    <w:p w:rsidR="00916AEC" w:rsidRPr="006A7DA3" w:rsidRDefault="00916AEC" w:rsidP="00916AEC">
      <w:pPr>
        <w:tabs>
          <w:tab w:val="left" w:pos="7300"/>
        </w:tabs>
        <w:jc w:val="center"/>
        <w:rPr>
          <w:rFonts w:eastAsia="Calibri" w:cs="Times New Roman"/>
          <w:b/>
        </w:rPr>
      </w:pPr>
      <w:r w:rsidRPr="006A7DA3">
        <w:rPr>
          <w:rFonts w:eastAsia="Calibri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916AEC" w:rsidRPr="006A7DA3" w:rsidTr="00EA4A70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№</w:t>
            </w:r>
          </w:p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Наименование</w:t>
            </w:r>
          </w:p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916AEC" w:rsidRPr="006A7DA3" w:rsidTr="00EA4A70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3</w:t>
            </w:r>
          </w:p>
        </w:tc>
      </w:tr>
      <w:tr w:rsidR="00916AEC" w:rsidRPr="006A7DA3" w:rsidTr="00EA4A70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916AEC" w:rsidRPr="006A7DA3" w:rsidRDefault="00916AEC" w:rsidP="00EA4A70">
            <w:pPr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ресурсов учитывается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согласно сборников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916AEC" w:rsidRPr="006A7DA3" w:rsidRDefault="00916AEC" w:rsidP="00EA4A70">
            <w:pPr>
              <w:ind w:firstLine="708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  <w:proofErr w:type="gramEnd"/>
          </w:p>
        </w:tc>
      </w:tr>
      <w:tr w:rsidR="00916AEC" w:rsidRPr="006A7DA3" w:rsidTr="00EA4A70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916AEC" w:rsidRPr="006A7DA3" w:rsidTr="00EA4A70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916AEC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Стоимость применяемых материалов, изделий и конструкций, отсутствующих в СССЦ/ФГИС, включается на основании коммерческ</w:t>
            </w:r>
            <w:r>
              <w:rPr>
                <w:rFonts w:eastAsia="Calibri" w:cs="Times New Roman"/>
                <w:sz w:val="20"/>
                <w:szCs w:val="20"/>
              </w:rPr>
              <w:t>ого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предложения (прайс-листы</w:t>
            </w:r>
            <w:r>
              <w:rPr>
                <w:rFonts w:eastAsia="Calibri" w:cs="Times New Roman"/>
                <w:sz w:val="20"/>
                <w:szCs w:val="20"/>
              </w:rPr>
              <w:t xml:space="preserve"> поставщика</w:t>
            </w:r>
            <w:r w:rsidRPr="006A7DA3">
              <w:rPr>
                <w:rFonts w:eastAsia="Calibri" w:cs="Times New Roman"/>
                <w:sz w:val="20"/>
                <w:szCs w:val="20"/>
              </w:rPr>
              <w:t>.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В </w:t>
            </w:r>
            <w:r>
              <w:rPr>
                <w:rFonts w:eastAsia="Calibri" w:cs="Times New Roman"/>
                <w:sz w:val="20"/>
                <w:szCs w:val="20"/>
              </w:rPr>
              <w:t>нем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, при условии </w:t>
            </w: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>получения информации из открытых источников сети-Интернет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916AEC" w:rsidRPr="006A7DA3" w:rsidTr="00EA4A70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ind w:right="55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916AEC" w:rsidRPr="006A7DA3" w:rsidTr="00EA4A70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коммерческ</w:t>
            </w:r>
            <w:r>
              <w:rPr>
                <w:rFonts w:eastAsia="Calibri" w:cs="Times New Roman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) </w:t>
            </w:r>
            <w:r>
              <w:rPr>
                <w:rFonts w:eastAsia="Calibri" w:cs="Times New Roman"/>
                <w:sz w:val="20"/>
                <w:szCs w:val="20"/>
              </w:rPr>
              <w:t>поставщика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. В </w:t>
            </w:r>
            <w:r>
              <w:rPr>
                <w:rFonts w:eastAsia="Calibri" w:cs="Times New Roman"/>
                <w:sz w:val="20"/>
                <w:szCs w:val="20"/>
              </w:rPr>
              <w:t>коммерческом предложении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916AEC" w:rsidRPr="006A7DA3" w:rsidRDefault="00916AEC" w:rsidP="00EA4A70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916AEC" w:rsidRPr="006A7DA3" w:rsidTr="00EA4A70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916AEC" w:rsidRPr="006A7DA3" w:rsidTr="00EA4A70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916AEC" w:rsidRPr="006A7DA3" w:rsidTr="00EA4A70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916AEC" w:rsidRPr="006A7DA3" w:rsidRDefault="00916AEC" w:rsidP="00EA4A70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916AEC" w:rsidRPr="006A7DA3" w:rsidTr="00EA4A70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Затраты предусматриваются в соответствии  с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действующими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нормативными.</w:t>
            </w:r>
          </w:p>
        </w:tc>
      </w:tr>
      <w:tr w:rsidR="00916AEC" w:rsidRPr="006A7DA3" w:rsidTr="00EA4A70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916AEC" w:rsidRPr="006A7DA3" w:rsidTr="00EA4A70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916AEC" w:rsidRPr="006A7DA3" w:rsidTr="00EA4A70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916AEC" w:rsidRPr="006A7DA3" w:rsidRDefault="00916AEC" w:rsidP="00EA4A70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916AEC" w:rsidRPr="006A7DA3" w:rsidRDefault="00916AEC" w:rsidP="00EA4A70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916AEC" w:rsidRDefault="00916AEC" w:rsidP="00916AEC">
      <w:pPr>
        <w:ind w:right="-2"/>
        <w:rPr>
          <w:b/>
          <w:szCs w:val="24"/>
        </w:rPr>
      </w:pPr>
    </w:p>
    <w:p w:rsidR="004A2C80" w:rsidRDefault="004A2C80">
      <w:bookmarkStart w:id="0" w:name="_GoBack"/>
      <w:bookmarkEnd w:id="0"/>
    </w:p>
    <w:sectPr w:rsidR="004A2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EC"/>
    <w:rsid w:val="004A2C80"/>
    <w:rsid w:val="0091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AEC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AEC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1674</Words>
  <Characters>9542</Characters>
  <Application>Microsoft Office Word</Application>
  <DocSecurity>0</DocSecurity>
  <Lines>79</Lines>
  <Paragraphs>22</Paragraphs>
  <ScaleCrop>false</ScaleCrop>
  <Company/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Пресняков Олег Евгеньевич</cp:lastModifiedBy>
  <cp:revision>1</cp:revision>
  <dcterms:created xsi:type="dcterms:W3CDTF">2019-09-18T08:53:00Z</dcterms:created>
  <dcterms:modified xsi:type="dcterms:W3CDTF">2019-09-18T08:54:00Z</dcterms:modified>
</cp:coreProperties>
</file>