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E02E69">
        <w:rPr>
          <w:noProof/>
          <w:sz w:val="22"/>
          <w:szCs w:val="22"/>
        </w:rPr>
        <w:t>Локальными ресурсными сметными расчетами в составе Объектного сметного расчета</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00E02E69">
        <w:rPr>
          <w:noProof/>
          <w:sz w:val="22"/>
          <w:szCs w:val="22"/>
        </w:rPr>
        <w:t>Ведомостью объемов работ (Прложение № 3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E02E69">
        <w:rPr>
          <w:bCs/>
          <w:noProof/>
          <w:sz w:val="22"/>
          <w:szCs w:val="22"/>
        </w:rPr>
        <w:t>к</w:t>
      </w:r>
      <w:r w:rsidR="00E02E69" w:rsidRPr="00E02E69">
        <w:rPr>
          <w:bCs/>
          <w:noProof/>
          <w:sz w:val="22"/>
          <w:szCs w:val="22"/>
        </w:rPr>
        <w:t xml:space="preserve">апитальный ремонт Гостиницы №7 на отм. +960, расположенной по адресу: 354392 Краснодарский край, г. Сочи, Адлерский район, с. Эсто-Садок, ул. Горная, д. 4.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1C1276">
        <w:rPr>
          <w:noProof/>
          <w:sz w:val="22"/>
          <w:szCs w:val="22"/>
        </w:rPr>
        <w:t>Ведомостью объемов работ</w:t>
      </w:r>
      <w:r w:rsidR="000C3A46" w:rsidRPr="00D33B22">
        <w:rPr>
          <w:noProof/>
          <w:sz w:val="22"/>
          <w:szCs w:val="22"/>
        </w:rPr>
        <w:t xml:space="preserve"> </w:t>
      </w:r>
      <w:r w:rsidR="00F539C1" w:rsidRPr="00D33B22">
        <w:rPr>
          <w:noProof/>
          <w:sz w:val="22"/>
          <w:szCs w:val="22"/>
        </w:rPr>
        <w:t>(Приложение №</w:t>
      </w:r>
      <w:r w:rsidR="001C1276">
        <w:rPr>
          <w:noProof/>
          <w:sz w:val="22"/>
          <w:szCs w:val="22"/>
        </w:rPr>
        <w:t xml:space="preserve"> 3</w:t>
      </w:r>
      <w:r w:rsidR="00F539C1" w:rsidRPr="00D33B22">
        <w:rPr>
          <w:noProof/>
          <w:sz w:val="22"/>
          <w:szCs w:val="22"/>
        </w:rPr>
        <w:t xml:space="preserve">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E02E69">
        <w:rPr>
          <w:noProof/>
          <w:sz w:val="22"/>
          <w:szCs w:val="22"/>
        </w:rPr>
        <w:t>Объектным сметным расчетом</w:t>
      </w:r>
      <w:r w:rsidR="000C3A46" w:rsidRPr="00D33B22">
        <w:rPr>
          <w:noProof/>
          <w:sz w:val="22"/>
          <w:szCs w:val="22"/>
        </w:rPr>
        <w:t xml:space="preserve"> </w:t>
      </w:r>
      <w:r w:rsidR="00F539C1" w:rsidRPr="00D33B22">
        <w:rPr>
          <w:noProof/>
          <w:sz w:val="22"/>
          <w:szCs w:val="22"/>
        </w:rPr>
        <w:t>(Приложение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ресурсных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размере </w:t>
      </w:r>
      <w:r w:rsidR="005B6834">
        <w:rPr>
          <w:sz w:val="22"/>
          <w:szCs w:val="22"/>
        </w:rPr>
        <w:t>3</w:t>
      </w:r>
      <w:r w:rsidR="00EB0FC2">
        <w:rPr>
          <w:sz w:val="22"/>
          <w:szCs w:val="22"/>
        </w:rPr>
        <w:t>0</w:t>
      </w:r>
      <w:r w:rsidRPr="00C1511B">
        <w:rPr>
          <w:sz w:val="22"/>
          <w:szCs w:val="22"/>
        </w:rPr>
        <w:t xml:space="preserve"> </w:t>
      </w:r>
      <w:r w:rsidR="008A689A">
        <w:rPr>
          <w:sz w:val="22"/>
          <w:szCs w:val="22"/>
        </w:rPr>
        <w:t>%</w:t>
      </w:r>
      <w:r w:rsidR="005B6834">
        <w:rPr>
          <w:sz w:val="22"/>
          <w:szCs w:val="22"/>
        </w:rPr>
        <w:t xml:space="preserve"> </w:t>
      </w:r>
      <w:r w:rsidRPr="00C1511B">
        <w:rPr>
          <w:sz w:val="22"/>
          <w:szCs w:val="22"/>
        </w:rPr>
        <w:t>(</w:t>
      </w:r>
      <w:r w:rsidR="005B6834">
        <w:rPr>
          <w:sz w:val="22"/>
          <w:szCs w:val="22"/>
        </w:rPr>
        <w:t>Тридцать</w:t>
      </w:r>
      <w:r w:rsidRPr="00C1511B">
        <w:rPr>
          <w:sz w:val="22"/>
          <w:szCs w:val="22"/>
        </w:rPr>
        <w:t xml:space="preserve">  процентов) от </w:t>
      </w:r>
      <w:r w:rsidR="0045502D">
        <w:rPr>
          <w:sz w:val="22"/>
          <w:szCs w:val="22"/>
        </w:rPr>
        <w:t>цены Договора</w:t>
      </w:r>
      <w:r w:rsidRPr="00C1511B">
        <w:rPr>
          <w:sz w:val="22"/>
          <w:szCs w:val="22"/>
        </w:rPr>
        <w:t>,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w:t>
      </w:r>
      <w:bookmarkStart w:id="0" w:name="_GoBack"/>
      <w:bookmarkEnd w:id="0"/>
      <w:r w:rsidR="00950FA6" w:rsidRPr="00F404F3">
        <w:rPr>
          <w:sz w:val="22"/>
          <w:szCs w:val="22"/>
        </w:rPr>
        <w:t>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в течение 10 (Десяти) банковских дней по завершении полного объема работ на основании подписанных Сторонами Актов о приемке выполненных работ.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8A689A"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p>
    <w:p w:rsidR="008A689A" w:rsidRDefault="008A689A" w:rsidP="00462848">
      <w:pPr>
        <w:pStyle w:val="af7"/>
        <w:spacing w:before="0" w:after="0"/>
        <w:ind w:left="0" w:firstLine="567"/>
        <w:rPr>
          <w:sz w:val="22"/>
          <w:szCs w:val="22"/>
        </w:rPr>
      </w:pPr>
      <w:r>
        <w:rPr>
          <w:sz w:val="22"/>
          <w:szCs w:val="22"/>
        </w:rPr>
        <w:t xml:space="preserve">Начало: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Исполнителя</w:t>
      </w:r>
    </w:p>
    <w:p w:rsidR="0070073F" w:rsidRDefault="008A689A" w:rsidP="00462848">
      <w:pPr>
        <w:pStyle w:val="af7"/>
        <w:spacing w:before="0" w:after="0"/>
        <w:ind w:left="0" w:firstLine="567"/>
        <w:rPr>
          <w:sz w:val="22"/>
          <w:szCs w:val="22"/>
        </w:rPr>
      </w:pPr>
      <w:r>
        <w:rPr>
          <w:sz w:val="22"/>
          <w:szCs w:val="22"/>
        </w:rPr>
        <w:t xml:space="preserve">Окончание: </w:t>
      </w:r>
      <w:r w:rsidR="001E6EE5">
        <w:rPr>
          <w:sz w:val="22"/>
          <w:szCs w:val="22"/>
        </w:rPr>
        <w:t xml:space="preserve"> </w:t>
      </w:r>
      <w:r w:rsidR="001E6EE5" w:rsidRPr="001E6EE5">
        <w:rPr>
          <w:sz w:val="22"/>
          <w:szCs w:val="22"/>
        </w:rPr>
        <w:t>до 20.12.</w:t>
      </w:r>
      <w:r w:rsidR="001E6EE5">
        <w:rPr>
          <w:sz w:val="22"/>
          <w:szCs w:val="22"/>
        </w:rPr>
        <w:t>20</w:t>
      </w:r>
      <w:r w:rsidR="001E6EE5" w:rsidRPr="001E6EE5">
        <w:rPr>
          <w:sz w:val="22"/>
          <w:szCs w:val="22"/>
        </w:rPr>
        <w:t>19 г. включительно.</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w:t>
      </w:r>
      <w:r w:rsidRPr="005A7428">
        <w:rPr>
          <w:sz w:val="22"/>
          <w:szCs w:val="22"/>
        </w:rPr>
        <w:lastRenderedPageBreak/>
        <w:t>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lastRenderedPageBreak/>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F81983" w:rsidRPr="00F81983">
        <w:rPr>
          <w:sz w:val="22"/>
          <w:szCs w:val="22"/>
        </w:rPr>
        <w:t>24 (Двадцать четыре) месяца</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 xml:space="preserve">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w:t>
      </w:r>
      <w:r w:rsidRPr="00A31D72">
        <w:rPr>
          <w:sz w:val="22"/>
          <w:szCs w:val="22"/>
        </w:rPr>
        <w:lastRenderedPageBreak/>
        <w:t>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lastRenderedPageBreak/>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lastRenderedPageBreak/>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 xml:space="preserve">Приложение № 2 – </w:t>
      </w:r>
      <w:r w:rsidR="009F11A4">
        <w:rPr>
          <w:noProof/>
          <w:sz w:val="22"/>
          <w:szCs w:val="22"/>
        </w:rPr>
        <w:t>Объектный сметный расчет в составе Локальных ресурсных сметны</w:t>
      </w:r>
      <w:r w:rsidR="00A87E27">
        <w:rPr>
          <w:noProof/>
          <w:sz w:val="22"/>
          <w:szCs w:val="22"/>
        </w:rPr>
        <w:t>х</w:t>
      </w:r>
      <w:r w:rsidR="009F11A4">
        <w:rPr>
          <w:noProof/>
          <w:sz w:val="22"/>
          <w:szCs w:val="22"/>
        </w:rPr>
        <w:t xml:space="preserve"> расчетов</w:t>
      </w:r>
      <w:r w:rsidR="009F11A4">
        <w:rPr>
          <w:sz w:val="22"/>
          <w:szCs w:val="22"/>
        </w:rPr>
        <w:t>;</w:t>
      </w:r>
    </w:p>
    <w:p w:rsidR="009F11A4" w:rsidRPr="00A31D72" w:rsidRDefault="009F11A4" w:rsidP="00462848">
      <w:pPr>
        <w:spacing w:before="0" w:after="0"/>
        <w:ind w:firstLine="567"/>
        <w:rPr>
          <w:sz w:val="22"/>
          <w:szCs w:val="22"/>
        </w:rPr>
      </w:pPr>
      <w:r>
        <w:rPr>
          <w:sz w:val="22"/>
          <w:szCs w:val="22"/>
        </w:rPr>
        <w:t>Приложение № 3 – Ведомость объемов работ.</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lastRenderedPageBreak/>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8A689A">
        <w:rPr>
          <w:sz w:val="22"/>
          <w:szCs w:val="22"/>
        </w:rPr>
        <w:t>Подрядчику</w:t>
      </w:r>
      <w:r w:rsidRPr="00A87E27">
        <w:rPr>
          <w:sz w:val="22"/>
          <w:szCs w:val="22"/>
        </w:rPr>
        <w:t xml:space="preserve">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10598" w:type="dxa"/>
        <w:tblLayout w:type="fixed"/>
        <w:tblLook w:val="0000" w:firstRow="0" w:lastRow="0" w:firstColumn="0" w:lastColumn="0" w:noHBand="0" w:noVBand="0"/>
      </w:tblPr>
      <w:tblGrid>
        <w:gridCol w:w="5070"/>
        <w:gridCol w:w="5528"/>
      </w:tblGrid>
      <w:tr w:rsidR="00D33B22" w:rsidRPr="00D33B22" w:rsidTr="008A689A">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5528"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8A689A">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5528"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103"/>
        <w:gridCol w:w="5538"/>
      </w:tblGrid>
      <w:tr w:rsidR="00903616" w:rsidRPr="00903616" w:rsidTr="008A689A">
        <w:trPr>
          <w:trHeight w:val="1269"/>
          <w:jc w:val="center"/>
        </w:trPr>
        <w:tc>
          <w:tcPr>
            <w:tcW w:w="2398" w:type="pct"/>
          </w:tcPr>
          <w:p w:rsidR="00903616" w:rsidRDefault="00903616" w:rsidP="00462848">
            <w:pPr>
              <w:spacing w:before="0" w:after="0"/>
              <w:ind w:firstLine="0"/>
            </w:pPr>
          </w:p>
          <w:p w:rsidR="00346830" w:rsidRPr="00346830" w:rsidRDefault="00346830" w:rsidP="00462848">
            <w:pPr>
              <w:tabs>
                <w:tab w:val="left" w:pos="5490"/>
              </w:tabs>
              <w:spacing w:before="0" w:after="0"/>
              <w:ind w:left="142" w:firstLine="0"/>
            </w:pPr>
            <w:r w:rsidRPr="00346830">
              <w:rPr>
                <w:sz w:val="22"/>
                <w:szCs w:val="22"/>
              </w:rPr>
              <w:t xml:space="preserve">Генеральный директор </w:t>
            </w:r>
          </w:p>
          <w:p w:rsidR="00346830" w:rsidRPr="00346830" w:rsidRDefault="00346830" w:rsidP="00462848">
            <w:pPr>
              <w:tabs>
                <w:tab w:val="left" w:pos="5490"/>
              </w:tabs>
              <w:spacing w:before="0" w:after="0"/>
              <w:ind w:left="142" w:firstLine="0"/>
            </w:pPr>
          </w:p>
          <w:p w:rsidR="00903616" w:rsidRPr="00346830" w:rsidRDefault="00903616" w:rsidP="00462848">
            <w:pPr>
              <w:tabs>
                <w:tab w:val="left" w:pos="5490"/>
              </w:tabs>
              <w:spacing w:before="0" w:after="0"/>
              <w:ind w:left="142" w:firstLine="0"/>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602" w:type="pct"/>
          </w:tcPr>
          <w:p w:rsidR="00903616" w:rsidRPr="00903616" w:rsidRDefault="00903616" w:rsidP="00462848">
            <w:pPr>
              <w:spacing w:before="0" w:after="0"/>
              <w:ind w:firstLine="0"/>
            </w:pPr>
          </w:p>
          <w:p w:rsidR="00346830" w:rsidRDefault="00346830" w:rsidP="00462848">
            <w:pPr>
              <w:spacing w:before="0" w:after="0"/>
              <w:ind w:firstLine="0"/>
            </w:pP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A87E27" w:rsidRPr="00A87E27" w:rsidRDefault="00A87E27" w:rsidP="00A87E27">
      <w:pPr>
        <w:spacing w:before="0" w:after="0"/>
        <w:ind w:firstLine="0"/>
        <w:jc w:val="center"/>
        <w:rPr>
          <w:b/>
          <w:sz w:val="22"/>
          <w:szCs w:val="22"/>
        </w:rPr>
      </w:pPr>
    </w:p>
    <w:p w:rsidR="00A87E27" w:rsidRPr="00A87E27" w:rsidRDefault="00A87E27" w:rsidP="00A87E27">
      <w:pPr>
        <w:spacing w:before="0" w:after="0"/>
        <w:ind w:firstLine="0"/>
        <w:jc w:val="center"/>
        <w:rPr>
          <w:b/>
          <w:sz w:val="22"/>
          <w:szCs w:val="22"/>
        </w:rPr>
      </w:pPr>
      <w:r w:rsidRPr="00A87E27">
        <w:rPr>
          <w:b/>
          <w:sz w:val="22"/>
          <w:szCs w:val="22"/>
        </w:rPr>
        <w:t xml:space="preserve">ТЕХНИЧЕСКОЕ ЗАДАНИЕ </w:t>
      </w:r>
    </w:p>
    <w:p w:rsidR="00A87E27" w:rsidRDefault="00A87E27" w:rsidP="00A87E27">
      <w:pPr>
        <w:spacing w:before="0" w:after="0"/>
        <w:ind w:firstLine="0"/>
        <w:jc w:val="center"/>
        <w:rPr>
          <w:b/>
          <w:sz w:val="22"/>
          <w:szCs w:val="22"/>
        </w:rPr>
      </w:pPr>
      <w:r w:rsidRPr="00A87E27">
        <w:rPr>
          <w:b/>
          <w:sz w:val="22"/>
          <w:szCs w:val="22"/>
        </w:rPr>
        <w:t xml:space="preserve">на капитальный ремонт Гостиницы №7 на </w:t>
      </w:r>
      <w:proofErr w:type="spellStart"/>
      <w:r w:rsidRPr="00A87E27">
        <w:rPr>
          <w:b/>
          <w:sz w:val="22"/>
          <w:szCs w:val="22"/>
        </w:rPr>
        <w:t>отм</w:t>
      </w:r>
      <w:proofErr w:type="spellEnd"/>
      <w:r w:rsidRPr="00A87E27">
        <w:rPr>
          <w:b/>
          <w:sz w:val="22"/>
          <w:szCs w:val="22"/>
        </w:rPr>
        <w:t xml:space="preserve">. +960, расположенной по адресу: 354392 </w:t>
      </w:r>
    </w:p>
    <w:p w:rsidR="00A87E27" w:rsidRPr="00A87E27" w:rsidRDefault="00A87E27" w:rsidP="00A87E27">
      <w:pPr>
        <w:spacing w:before="0" w:after="0"/>
        <w:ind w:firstLine="0"/>
        <w:jc w:val="center"/>
        <w:rPr>
          <w:b/>
          <w:sz w:val="22"/>
          <w:szCs w:val="22"/>
        </w:rPr>
      </w:pPr>
      <w:r w:rsidRPr="00A87E27">
        <w:rPr>
          <w:b/>
          <w:sz w:val="22"/>
          <w:szCs w:val="22"/>
        </w:rPr>
        <w:t xml:space="preserve">Краснодарский край, г. Сочи, Адлерский район, с. </w:t>
      </w:r>
      <w:proofErr w:type="spellStart"/>
      <w:r w:rsidRPr="00A87E27">
        <w:rPr>
          <w:b/>
          <w:sz w:val="22"/>
          <w:szCs w:val="22"/>
        </w:rPr>
        <w:t>Эсто</w:t>
      </w:r>
      <w:proofErr w:type="spellEnd"/>
      <w:r w:rsidRPr="00A87E27">
        <w:rPr>
          <w:b/>
          <w:sz w:val="22"/>
          <w:szCs w:val="22"/>
        </w:rPr>
        <w:t xml:space="preserve">-Садок, ул. </w:t>
      </w:r>
      <w:proofErr w:type="gramStart"/>
      <w:r w:rsidRPr="00A87E27">
        <w:rPr>
          <w:b/>
          <w:sz w:val="22"/>
          <w:szCs w:val="22"/>
        </w:rPr>
        <w:t>Горная</w:t>
      </w:r>
      <w:proofErr w:type="gramEnd"/>
      <w:r w:rsidRPr="00A87E27">
        <w:rPr>
          <w:b/>
          <w:sz w:val="22"/>
          <w:szCs w:val="22"/>
        </w:rPr>
        <w:t>, д. 4.</w:t>
      </w:r>
    </w:p>
    <w:p w:rsidR="00A87E27" w:rsidRPr="00A87E27" w:rsidRDefault="00A87E27" w:rsidP="00A87E27">
      <w:pPr>
        <w:spacing w:before="0" w:after="0"/>
        <w:ind w:firstLine="0"/>
        <w:rPr>
          <w:b/>
          <w:sz w:val="22"/>
          <w:szCs w:val="22"/>
        </w:rPr>
      </w:pPr>
    </w:p>
    <w:tbl>
      <w:tblPr>
        <w:tblStyle w:val="13"/>
        <w:tblW w:w="0" w:type="auto"/>
        <w:tblLook w:val="04A0" w:firstRow="1" w:lastRow="0" w:firstColumn="1" w:lastColumn="0" w:noHBand="0" w:noVBand="1"/>
      </w:tblPr>
      <w:tblGrid>
        <w:gridCol w:w="3085"/>
        <w:gridCol w:w="6804"/>
      </w:tblGrid>
      <w:tr w:rsidR="00A87E27" w:rsidRPr="00A87E27" w:rsidTr="009A2433">
        <w:tc>
          <w:tcPr>
            <w:tcW w:w="3085" w:type="dxa"/>
          </w:tcPr>
          <w:p w:rsidR="00A87E27" w:rsidRPr="00A87E27" w:rsidRDefault="00A87E27" w:rsidP="00A87E27">
            <w:pPr>
              <w:spacing w:before="0" w:after="0"/>
              <w:ind w:firstLine="0"/>
              <w:jc w:val="left"/>
              <w:rPr>
                <w:b/>
              </w:rPr>
            </w:pPr>
            <w:r w:rsidRPr="00A87E27">
              <w:t>Предмет закупки</w:t>
            </w:r>
          </w:p>
        </w:tc>
        <w:tc>
          <w:tcPr>
            <w:tcW w:w="6804" w:type="dxa"/>
          </w:tcPr>
          <w:p w:rsidR="00A87E27" w:rsidRPr="00A87E27" w:rsidRDefault="00A87E27" w:rsidP="00A87E27">
            <w:pPr>
              <w:spacing w:before="0" w:after="0"/>
              <w:ind w:firstLine="0"/>
              <w:rPr>
                <w:b/>
              </w:rPr>
            </w:pPr>
            <w:r w:rsidRPr="00A87E27">
              <w:t xml:space="preserve">Капитальный ремонт Гостиницы №7 на </w:t>
            </w:r>
            <w:proofErr w:type="spellStart"/>
            <w:r w:rsidRPr="00A87E27">
              <w:t>отм</w:t>
            </w:r>
            <w:proofErr w:type="spellEnd"/>
            <w:r w:rsidRPr="00A87E27">
              <w:t xml:space="preserve">. +960, расположенной по адресу: 354392 Краснодарский край, г. Сочи, Адлерский район, </w:t>
            </w:r>
            <w:r w:rsidR="009A2433">
              <w:t xml:space="preserve">                </w:t>
            </w:r>
            <w:r w:rsidRPr="00A87E27">
              <w:t xml:space="preserve">с. </w:t>
            </w:r>
            <w:proofErr w:type="spellStart"/>
            <w:r w:rsidRPr="00A87E27">
              <w:t>Эсто</w:t>
            </w:r>
            <w:proofErr w:type="spellEnd"/>
            <w:r w:rsidRPr="00A87E27">
              <w:t xml:space="preserve">-Садок, ул. </w:t>
            </w:r>
            <w:proofErr w:type="gramStart"/>
            <w:r w:rsidRPr="00A87E27">
              <w:t>Горная</w:t>
            </w:r>
            <w:proofErr w:type="gramEnd"/>
            <w:r w:rsidRPr="00A87E27">
              <w:t>, д. 4.</w:t>
            </w:r>
          </w:p>
        </w:tc>
      </w:tr>
      <w:tr w:rsidR="00A87E27" w:rsidRPr="00A87E27" w:rsidTr="009A2433">
        <w:tc>
          <w:tcPr>
            <w:tcW w:w="3085" w:type="dxa"/>
          </w:tcPr>
          <w:p w:rsidR="00A87E27" w:rsidRPr="00A87E27" w:rsidRDefault="00A87E27" w:rsidP="00A87E27">
            <w:pPr>
              <w:spacing w:before="0" w:after="0"/>
              <w:ind w:firstLine="0"/>
              <w:jc w:val="left"/>
            </w:pPr>
            <w:r w:rsidRPr="00A87E27">
              <w:t>Наименование объекта</w:t>
            </w:r>
          </w:p>
        </w:tc>
        <w:tc>
          <w:tcPr>
            <w:tcW w:w="6804" w:type="dxa"/>
          </w:tcPr>
          <w:p w:rsidR="00A87E27" w:rsidRPr="00A87E27" w:rsidRDefault="00A87E27" w:rsidP="00A87E27">
            <w:pPr>
              <w:spacing w:before="0" w:after="0"/>
              <w:ind w:firstLine="0"/>
            </w:pPr>
            <w:r w:rsidRPr="00A87E27">
              <w:t xml:space="preserve">Гостиница №7 на </w:t>
            </w:r>
            <w:proofErr w:type="spellStart"/>
            <w:r w:rsidRPr="00A87E27">
              <w:t>отм</w:t>
            </w:r>
            <w:proofErr w:type="spellEnd"/>
            <w:r w:rsidRPr="00A87E27">
              <w:t>. +960</w:t>
            </w:r>
          </w:p>
        </w:tc>
      </w:tr>
      <w:tr w:rsidR="00A87E27" w:rsidRPr="00A87E27" w:rsidTr="009A2433">
        <w:tc>
          <w:tcPr>
            <w:tcW w:w="3085" w:type="dxa"/>
          </w:tcPr>
          <w:p w:rsidR="00A87E27" w:rsidRPr="00A87E27" w:rsidRDefault="00A87E27" w:rsidP="00A87E27">
            <w:pPr>
              <w:spacing w:before="0" w:after="0"/>
              <w:ind w:firstLine="0"/>
              <w:jc w:val="left"/>
              <w:rPr>
                <w:b/>
              </w:rPr>
            </w:pPr>
            <w:r w:rsidRPr="00A87E27">
              <w:t>Местонахождение объекта</w:t>
            </w:r>
          </w:p>
        </w:tc>
        <w:tc>
          <w:tcPr>
            <w:tcW w:w="6804" w:type="dxa"/>
          </w:tcPr>
          <w:p w:rsidR="00A87E27" w:rsidRPr="00A87E27" w:rsidRDefault="00A87E27" w:rsidP="00A87E27">
            <w:pPr>
              <w:spacing w:before="0" w:after="0"/>
              <w:ind w:firstLine="0"/>
            </w:pPr>
            <w:r w:rsidRPr="00A87E27">
              <w:t xml:space="preserve">354392 Краснодарский край, г. Сочи, Адлерский район, с. </w:t>
            </w:r>
            <w:proofErr w:type="spellStart"/>
            <w:r w:rsidRPr="00A87E27">
              <w:t>Эсто</w:t>
            </w:r>
            <w:proofErr w:type="spellEnd"/>
            <w:r w:rsidRPr="00A87E27">
              <w:t xml:space="preserve">-Садок, ул. </w:t>
            </w:r>
            <w:proofErr w:type="gramStart"/>
            <w:r w:rsidRPr="00A87E27">
              <w:t>Горная</w:t>
            </w:r>
            <w:proofErr w:type="gramEnd"/>
            <w:r w:rsidRPr="00A87E27">
              <w:t>, д. 4.</w:t>
            </w:r>
          </w:p>
        </w:tc>
      </w:tr>
      <w:tr w:rsidR="00A87E27" w:rsidRPr="00A87E27" w:rsidTr="009A2433">
        <w:tc>
          <w:tcPr>
            <w:tcW w:w="3085" w:type="dxa"/>
          </w:tcPr>
          <w:p w:rsidR="00A87E27" w:rsidRPr="00A87E27" w:rsidRDefault="00A87E27" w:rsidP="00A87E27">
            <w:pPr>
              <w:spacing w:before="0" w:after="0"/>
              <w:ind w:firstLine="0"/>
              <w:jc w:val="left"/>
            </w:pPr>
            <w:r w:rsidRPr="00A87E27">
              <w:t>Вид строительства</w:t>
            </w:r>
          </w:p>
        </w:tc>
        <w:tc>
          <w:tcPr>
            <w:tcW w:w="6804" w:type="dxa"/>
          </w:tcPr>
          <w:p w:rsidR="00A87E27" w:rsidRPr="00A87E27" w:rsidRDefault="00A87E27" w:rsidP="00A87E27">
            <w:pPr>
              <w:spacing w:before="0" w:after="0"/>
              <w:ind w:firstLine="0"/>
            </w:pPr>
            <w:r w:rsidRPr="00A87E27">
              <w:t>Капитальный ремонт</w:t>
            </w:r>
          </w:p>
        </w:tc>
      </w:tr>
      <w:tr w:rsidR="00A87E27" w:rsidRPr="00A87E27" w:rsidTr="009A2433">
        <w:tc>
          <w:tcPr>
            <w:tcW w:w="3085" w:type="dxa"/>
          </w:tcPr>
          <w:p w:rsidR="00A87E27" w:rsidRPr="00A87E27" w:rsidRDefault="00A87E27" w:rsidP="00A87E27">
            <w:pPr>
              <w:spacing w:before="0" w:after="0"/>
              <w:ind w:firstLine="0"/>
              <w:jc w:val="left"/>
              <w:rPr>
                <w:b/>
              </w:rPr>
            </w:pPr>
            <w:r w:rsidRPr="00A87E27">
              <w:t>Срок (этапы) и условия выполнения работ</w:t>
            </w:r>
          </w:p>
        </w:tc>
        <w:tc>
          <w:tcPr>
            <w:tcW w:w="6804" w:type="dxa"/>
          </w:tcPr>
          <w:p w:rsidR="00A87E27" w:rsidRPr="00A87E27" w:rsidRDefault="00A87E27" w:rsidP="00A87E27">
            <w:pPr>
              <w:spacing w:before="0" w:after="0"/>
              <w:ind w:firstLine="0"/>
            </w:pPr>
            <w:r w:rsidRPr="00A87E27">
              <w:t>Работы выполняются в один этап.</w:t>
            </w:r>
          </w:p>
          <w:p w:rsidR="00A87E27" w:rsidRPr="00A87E27" w:rsidRDefault="00A87E27" w:rsidP="00A87E27">
            <w:pPr>
              <w:spacing w:before="0" w:after="0"/>
              <w:ind w:firstLine="0"/>
            </w:pPr>
            <w:r w:rsidRPr="00A87E27">
              <w:t xml:space="preserve">Общий срок выполнения работ: </w:t>
            </w:r>
            <w:proofErr w:type="gramStart"/>
            <w:r w:rsidRPr="00A87E27">
              <w:t>с даты поступления</w:t>
            </w:r>
            <w:proofErr w:type="gramEnd"/>
            <w:r w:rsidRPr="00A87E27">
              <w:t xml:space="preserve"> авансового платежа на банковский счет Исполнителя до 20.12.</w:t>
            </w:r>
            <w:r>
              <w:t>20</w:t>
            </w:r>
            <w:r w:rsidRPr="00A87E27">
              <w:t>19г.</w:t>
            </w:r>
            <w:r>
              <w:t>,</w:t>
            </w:r>
            <w:r w:rsidRPr="00A87E27">
              <w:t xml:space="preserve"> включительно.</w:t>
            </w:r>
          </w:p>
        </w:tc>
      </w:tr>
      <w:tr w:rsidR="00A87E27" w:rsidRPr="00A87E27" w:rsidTr="009A2433">
        <w:tc>
          <w:tcPr>
            <w:tcW w:w="3085" w:type="dxa"/>
          </w:tcPr>
          <w:p w:rsidR="00A87E27" w:rsidRPr="00A87E27" w:rsidRDefault="00A87E27" w:rsidP="00A87E27">
            <w:pPr>
              <w:spacing w:before="0" w:after="0"/>
              <w:ind w:firstLine="0"/>
              <w:jc w:val="left"/>
            </w:pPr>
            <w:r w:rsidRPr="00A87E27">
              <w:t xml:space="preserve">Цель </w:t>
            </w:r>
          </w:p>
        </w:tc>
        <w:tc>
          <w:tcPr>
            <w:tcW w:w="6804" w:type="dxa"/>
          </w:tcPr>
          <w:p w:rsidR="00A87E27" w:rsidRPr="00A87E27" w:rsidRDefault="00A87E27" w:rsidP="00A87E27">
            <w:pPr>
              <w:spacing w:before="0" w:after="0"/>
              <w:ind w:firstLine="0"/>
            </w:pPr>
            <w:r w:rsidRPr="00A87E27">
              <w:t xml:space="preserve">Выполнение капитального ремонта объекта, </w:t>
            </w:r>
            <w:proofErr w:type="spellStart"/>
            <w:r w:rsidRPr="00A87E27">
              <w:t>ребрендинг</w:t>
            </w:r>
            <w:proofErr w:type="spellEnd"/>
            <w:r w:rsidRPr="00A87E27">
              <w:t>, приведение в соответствие требованиям корпоративных стандартов брэнда</w:t>
            </w:r>
          </w:p>
        </w:tc>
      </w:tr>
      <w:tr w:rsidR="00A87E27" w:rsidRPr="00A87E27" w:rsidTr="009A2433">
        <w:tc>
          <w:tcPr>
            <w:tcW w:w="3085" w:type="dxa"/>
          </w:tcPr>
          <w:p w:rsidR="00A87E27" w:rsidRPr="00A87E27" w:rsidRDefault="00A87E27" w:rsidP="00A87E27">
            <w:pPr>
              <w:spacing w:before="0" w:after="0"/>
              <w:ind w:firstLine="0"/>
              <w:jc w:val="left"/>
            </w:pPr>
            <w:r w:rsidRPr="00A87E27">
              <w:t>Перечень, функциональное назначение и основные показатели по объектам</w:t>
            </w:r>
          </w:p>
        </w:tc>
        <w:tc>
          <w:tcPr>
            <w:tcW w:w="6804" w:type="dxa"/>
          </w:tcPr>
          <w:p w:rsidR="00A87E27" w:rsidRPr="00A87E27" w:rsidRDefault="00A87E27" w:rsidP="00A87E27">
            <w:pPr>
              <w:spacing w:before="0" w:after="0"/>
              <w:ind w:firstLine="0"/>
            </w:pPr>
            <w:r w:rsidRPr="00A87E27">
              <w:t xml:space="preserve">Гостиница № 7 на </w:t>
            </w:r>
            <w:proofErr w:type="spellStart"/>
            <w:r w:rsidRPr="00A87E27">
              <w:t>отм</w:t>
            </w:r>
            <w:proofErr w:type="spellEnd"/>
            <w:r w:rsidRPr="00A87E27">
              <w:t>. +960:</w:t>
            </w:r>
          </w:p>
          <w:p w:rsidR="00A87E27" w:rsidRPr="00A87E27" w:rsidRDefault="00A87E27" w:rsidP="00A87E27">
            <w:pPr>
              <w:spacing w:before="0" w:after="0"/>
              <w:ind w:firstLine="0"/>
            </w:pPr>
            <w:r w:rsidRPr="00A87E27">
              <w:t>- Общая площадь – 13 844,00 м</w:t>
            </w:r>
            <w:proofErr w:type="gramStart"/>
            <w:r w:rsidRPr="00A87E27">
              <w:t>2</w:t>
            </w:r>
            <w:proofErr w:type="gramEnd"/>
            <w:r w:rsidRPr="00A87E27">
              <w:t>;</w:t>
            </w:r>
          </w:p>
          <w:p w:rsidR="00A87E27" w:rsidRPr="00A87E27" w:rsidRDefault="00A87E27" w:rsidP="00A87E27">
            <w:pPr>
              <w:spacing w:before="0" w:after="0"/>
              <w:ind w:firstLine="0"/>
            </w:pPr>
            <w:r w:rsidRPr="00A87E27">
              <w:t>- Строительный объем – 56 070,00 м3;</w:t>
            </w:r>
          </w:p>
          <w:p w:rsidR="00A87E27" w:rsidRPr="00A87E27" w:rsidRDefault="00A87E27" w:rsidP="00A87E27">
            <w:pPr>
              <w:spacing w:before="0" w:after="0"/>
              <w:ind w:firstLine="0"/>
            </w:pPr>
            <w:r w:rsidRPr="00A87E27">
              <w:t>- Количество номеров – 94 шт.</w:t>
            </w:r>
          </w:p>
        </w:tc>
      </w:tr>
      <w:tr w:rsidR="00A87E27" w:rsidRPr="00A87E27" w:rsidTr="009A2433">
        <w:tc>
          <w:tcPr>
            <w:tcW w:w="3085" w:type="dxa"/>
          </w:tcPr>
          <w:p w:rsidR="00A87E27" w:rsidRPr="00A87E27" w:rsidRDefault="00A87E27" w:rsidP="00A87E27">
            <w:pPr>
              <w:spacing w:before="0" w:after="0"/>
              <w:ind w:firstLine="0"/>
              <w:jc w:val="left"/>
            </w:pPr>
            <w:r w:rsidRPr="00A87E27">
              <w:t>Виды и объемы выполняемых работ</w:t>
            </w:r>
          </w:p>
        </w:tc>
        <w:tc>
          <w:tcPr>
            <w:tcW w:w="6804" w:type="dxa"/>
          </w:tcPr>
          <w:p w:rsidR="00A87E27" w:rsidRPr="00A87E27" w:rsidRDefault="00A87E27" w:rsidP="00A87E27">
            <w:pPr>
              <w:spacing w:before="0" w:after="0"/>
              <w:ind w:firstLine="0"/>
            </w:pPr>
            <w:r w:rsidRPr="00A87E27">
              <w:t>1. Выполнить строительно-монтажные работы в соответствии с настоящим техническим заданием в объемах, указанных в ведомостях объемов работ (</w:t>
            </w:r>
            <w:r>
              <w:t>Приложение № 3 к Договору</w:t>
            </w:r>
            <w:r w:rsidRPr="00A87E27">
              <w:t>).</w:t>
            </w:r>
          </w:p>
          <w:p w:rsidR="00A87E27" w:rsidRPr="00A87E27" w:rsidRDefault="00A87E27" w:rsidP="00A87E27">
            <w:pPr>
              <w:spacing w:before="0" w:after="0"/>
              <w:ind w:firstLine="0"/>
            </w:pPr>
            <w:r w:rsidRPr="00A87E27">
              <w:t>2. До начала работ по устройству проемов в несущих стенах необходимо разработать проектную документацию в объеме, достаточном для реализации в процессе строительства архитектурных, технических и технологических решений на усиление несущих конструкций и согласовать с Заказчиком.</w:t>
            </w:r>
          </w:p>
          <w:p w:rsidR="00A87E27" w:rsidRPr="00A87E27" w:rsidRDefault="00A87E27" w:rsidP="00A87E27">
            <w:pPr>
              <w:spacing w:before="0" w:after="0"/>
              <w:ind w:firstLine="0"/>
            </w:pPr>
            <w:r w:rsidRPr="00A87E27">
              <w:t>3. В случае выявления необходимости выполнения работ, не вошедших в настоящие ведомости объемов работ, такие работы подлежат предварительному согласованию Заказчиком, а стоимость таких работ определяется на основании смет, рассчитанных в соответствии приложение №</w:t>
            </w:r>
            <w:r>
              <w:t>1</w:t>
            </w:r>
            <w:r w:rsidRPr="00A87E27">
              <w:t xml:space="preserve"> к настоящему техническому заданию.</w:t>
            </w:r>
          </w:p>
        </w:tc>
      </w:tr>
      <w:tr w:rsidR="00A87E27" w:rsidRPr="00A87E27" w:rsidTr="009A2433">
        <w:tc>
          <w:tcPr>
            <w:tcW w:w="3085" w:type="dxa"/>
          </w:tcPr>
          <w:p w:rsidR="00A87E27" w:rsidRPr="00A87E27" w:rsidRDefault="00A87E27" w:rsidP="00A87E27">
            <w:pPr>
              <w:spacing w:before="0" w:after="0"/>
              <w:ind w:firstLine="0"/>
              <w:jc w:val="left"/>
            </w:pPr>
            <w:r w:rsidRPr="00A87E27">
              <w:t>Требования к применяемым материалам</w:t>
            </w:r>
          </w:p>
        </w:tc>
        <w:tc>
          <w:tcPr>
            <w:tcW w:w="6804" w:type="dxa"/>
          </w:tcPr>
          <w:p w:rsidR="00A87E27" w:rsidRPr="00A87E27" w:rsidRDefault="00A87E27" w:rsidP="00A87E27">
            <w:pPr>
              <w:spacing w:before="0" w:after="0"/>
              <w:ind w:firstLine="0"/>
            </w:pPr>
            <w:r w:rsidRPr="00A87E27">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A87E27" w:rsidRPr="00A87E27" w:rsidRDefault="00A87E27" w:rsidP="00A87E27">
            <w:pPr>
              <w:spacing w:before="0" w:after="0"/>
              <w:ind w:firstLine="0"/>
            </w:pPr>
            <w:r w:rsidRPr="00A87E27">
              <w:t>Все применяемые материалы подлежат согласованию Заказчиком до начала производства работ.</w:t>
            </w:r>
          </w:p>
        </w:tc>
      </w:tr>
      <w:tr w:rsidR="00A87E27" w:rsidRPr="00A87E27" w:rsidTr="009A2433">
        <w:tc>
          <w:tcPr>
            <w:tcW w:w="3085" w:type="dxa"/>
          </w:tcPr>
          <w:p w:rsidR="00A87E27" w:rsidRPr="00A87E27" w:rsidRDefault="00A87E27" w:rsidP="00A87E27">
            <w:pPr>
              <w:spacing w:before="0" w:after="0"/>
              <w:ind w:firstLine="0"/>
              <w:jc w:val="left"/>
            </w:pPr>
            <w:r w:rsidRPr="00A87E27">
              <w:t>Требования к производству строительно-монтажных работ</w:t>
            </w:r>
          </w:p>
        </w:tc>
        <w:tc>
          <w:tcPr>
            <w:tcW w:w="6804" w:type="dxa"/>
          </w:tcPr>
          <w:p w:rsidR="00A87E27" w:rsidRPr="00A87E27" w:rsidRDefault="00A87E27" w:rsidP="00A87E27">
            <w:pPr>
              <w:spacing w:before="0" w:after="0"/>
              <w:ind w:firstLine="0"/>
            </w:pPr>
            <w:r w:rsidRPr="00A87E27">
              <w:t>1. Исполнитель обеспечивает наличие необходимого инструмента, спецтехники и оборудования для производства работ самостоятельно.</w:t>
            </w:r>
          </w:p>
          <w:p w:rsidR="00A87E27" w:rsidRPr="00A87E27" w:rsidRDefault="00A87E27" w:rsidP="00A87E27">
            <w:pPr>
              <w:spacing w:before="0" w:after="0"/>
              <w:ind w:firstLine="0"/>
            </w:pPr>
            <w:r w:rsidRPr="00A87E27">
              <w:t xml:space="preserve">2. Исполнитель обеспечивает транспортировку необходимых ресурсов самостоятельно. </w:t>
            </w:r>
          </w:p>
          <w:p w:rsidR="00A87E27" w:rsidRPr="00A87E27" w:rsidRDefault="00A87E27" w:rsidP="00A87E27">
            <w:pPr>
              <w:spacing w:before="0" w:after="0"/>
              <w:ind w:firstLine="0"/>
            </w:pPr>
            <w:r w:rsidRPr="00A87E27">
              <w:t>3. Исполнитель сдает заказчику 3 (три) экземпляра исполнительной документации и один экземпляр на электронном носителе в редактируемом формате DWG, DOC до подписания Актов о приемке выполненных работ КС-2.</w:t>
            </w:r>
          </w:p>
        </w:tc>
      </w:tr>
      <w:tr w:rsidR="00A87E27" w:rsidRPr="00A87E27" w:rsidTr="009A2433">
        <w:tc>
          <w:tcPr>
            <w:tcW w:w="3085" w:type="dxa"/>
          </w:tcPr>
          <w:p w:rsidR="00A87E27" w:rsidRPr="00A87E27" w:rsidRDefault="00A87E27" w:rsidP="00A87E27">
            <w:pPr>
              <w:spacing w:before="0" w:after="0"/>
              <w:ind w:firstLine="0"/>
              <w:jc w:val="left"/>
            </w:pPr>
            <w:r w:rsidRPr="00A87E27">
              <w:t>Требования к безопасности выполнения работ</w:t>
            </w:r>
          </w:p>
        </w:tc>
        <w:tc>
          <w:tcPr>
            <w:tcW w:w="6804" w:type="dxa"/>
          </w:tcPr>
          <w:p w:rsidR="00A87E27" w:rsidRPr="00A87E27" w:rsidRDefault="00A87E27" w:rsidP="00A87E27">
            <w:pPr>
              <w:spacing w:before="0" w:after="0"/>
              <w:ind w:firstLine="0"/>
            </w:pPr>
            <w:r w:rsidRPr="00A87E27">
              <w:t xml:space="preserve">1. При производстве работ следует 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w:t>
            </w:r>
            <w:r w:rsidRPr="00A87E27">
              <w:lastRenderedPageBreak/>
              <w:t>Федерации нормативными актами в течение всего Срока действия Договора.</w:t>
            </w:r>
          </w:p>
          <w:p w:rsidR="00A87E27" w:rsidRPr="00A87E27" w:rsidRDefault="00A87E27" w:rsidP="00A87E27">
            <w:pPr>
              <w:spacing w:before="0" w:after="0"/>
              <w:ind w:firstLine="0"/>
            </w:pPr>
            <w:r w:rsidRPr="00A87E27">
              <w:t>2. При производстве работ Исполнитель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A87E27" w:rsidRPr="00A87E27" w:rsidTr="009A2433">
        <w:tc>
          <w:tcPr>
            <w:tcW w:w="3085" w:type="dxa"/>
          </w:tcPr>
          <w:p w:rsidR="00A87E27" w:rsidRPr="00A87E27" w:rsidRDefault="00A87E27" w:rsidP="00A87E27">
            <w:pPr>
              <w:spacing w:before="0" w:after="0"/>
              <w:ind w:firstLine="0"/>
              <w:jc w:val="left"/>
            </w:pPr>
            <w:r w:rsidRPr="00A87E27">
              <w:lastRenderedPageBreak/>
              <w:t>Особые условия строительства</w:t>
            </w:r>
          </w:p>
        </w:tc>
        <w:tc>
          <w:tcPr>
            <w:tcW w:w="6804" w:type="dxa"/>
          </w:tcPr>
          <w:p w:rsidR="00A87E27" w:rsidRPr="00A87E27" w:rsidRDefault="00A87E27" w:rsidP="00A87E27">
            <w:pPr>
              <w:spacing w:before="0" w:after="0"/>
              <w:ind w:firstLine="0"/>
            </w:pPr>
            <w:r w:rsidRPr="00A87E27">
              <w:t>1. Сейсмичность принять в соответствии с требованиями СП 14.13330, с картой ОСР-2015-А и с СНКК 22-301-2008.</w:t>
            </w:r>
          </w:p>
        </w:tc>
      </w:tr>
      <w:tr w:rsidR="00A87E27" w:rsidRPr="00A87E27" w:rsidTr="009A2433">
        <w:tc>
          <w:tcPr>
            <w:tcW w:w="3085" w:type="dxa"/>
          </w:tcPr>
          <w:p w:rsidR="00A87E27" w:rsidRPr="00A87E27" w:rsidRDefault="00A87E27" w:rsidP="00A87E27">
            <w:pPr>
              <w:spacing w:before="0" w:after="0"/>
              <w:ind w:firstLine="0"/>
              <w:jc w:val="left"/>
            </w:pPr>
            <w:r w:rsidRPr="00A87E27">
              <w:t>Исходные данные</w:t>
            </w:r>
          </w:p>
        </w:tc>
        <w:tc>
          <w:tcPr>
            <w:tcW w:w="6804" w:type="dxa"/>
          </w:tcPr>
          <w:p w:rsidR="00A87E27" w:rsidRPr="00A87E27" w:rsidRDefault="00A87E27" w:rsidP="00A87E27">
            <w:pPr>
              <w:spacing w:before="0" w:after="0"/>
              <w:ind w:firstLine="0"/>
            </w:pPr>
            <w:r w:rsidRPr="00A87E27">
              <w:t>Рабочая документация для строительства объекта в электронном виде.</w:t>
            </w:r>
          </w:p>
        </w:tc>
      </w:tr>
      <w:tr w:rsidR="00A87E27" w:rsidRPr="00A87E27" w:rsidTr="009A2433">
        <w:tc>
          <w:tcPr>
            <w:tcW w:w="3085" w:type="dxa"/>
          </w:tcPr>
          <w:p w:rsidR="00A87E27" w:rsidRPr="00A87E27" w:rsidRDefault="00A87E27" w:rsidP="00A87E27">
            <w:pPr>
              <w:spacing w:before="0" w:after="0"/>
              <w:ind w:firstLine="0"/>
              <w:jc w:val="left"/>
            </w:pPr>
            <w:r w:rsidRPr="00A87E27">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804" w:type="dxa"/>
          </w:tcPr>
          <w:p w:rsidR="00A87E27" w:rsidRPr="00A87E27" w:rsidRDefault="00A87E27" w:rsidP="00A87E27">
            <w:pPr>
              <w:spacing w:before="0" w:after="0"/>
              <w:ind w:firstLine="0"/>
            </w:pPr>
            <w:r w:rsidRPr="00A87E27">
              <w:t>Не требуется</w:t>
            </w:r>
          </w:p>
        </w:tc>
      </w:tr>
      <w:tr w:rsidR="00A87E27" w:rsidRPr="00A87E27" w:rsidTr="009A2433">
        <w:tc>
          <w:tcPr>
            <w:tcW w:w="3085" w:type="dxa"/>
          </w:tcPr>
          <w:p w:rsidR="00A87E27" w:rsidRPr="00A87E27" w:rsidRDefault="00A87E27" w:rsidP="00A87E27">
            <w:pPr>
              <w:spacing w:before="0" w:after="0"/>
              <w:ind w:firstLine="0"/>
              <w:jc w:val="left"/>
              <w:rPr>
                <w:lang w:val="en-US"/>
              </w:rPr>
            </w:pPr>
            <w:r w:rsidRPr="00A87E27">
              <w:t>Требования к исполнителю</w:t>
            </w:r>
          </w:p>
          <w:p w:rsidR="00A87E27" w:rsidRPr="00A87E27" w:rsidRDefault="00A87E27" w:rsidP="00A87E27">
            <w:pPr>
              <w:spacing w:before="0" w:after="0"/>
              <w:ind w:firstLine="0"/>
              <w:jc w:val="left"/>
            </w:pPr>
          </w:p>
        </w:tc>
        <w:tc>
          <w:tcPr>
            <w:tcW w:w="6804" w:type="dxa"/>
          </w:tcPr>
          <w:p w:rsidR="00A87E27" w:rsidRPr="00A87E27" w:rsidRDefault="00A87E27" w:rsidP="00A87E27">
            <w:pPr>
              <w:spacing w:before="0" w:after="0"/>
              <w:ind w:firstLine="0"/>
            </w:pPr>
            <w:r w:rsidRPr="00A87E27">
              <w:t>1. 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A87E27" w:rsidRPr="00A87E27" w:rsidRDefault="00A87E27" w:rsidP="00A87E27">
            <w:pPr>
              <w:spacing w:before="0" w:after="0"/>
              <w:ind w:firstLine="0"/>
            </w:pPr>
            <w:r w:rsidRPr="00A87E27">
              <w:t>2. Исполнитель должен являться членом саморегулируемой организации (СРО) в области в области строительства, реконструкции, капитального ремонта объектов капитального строительства за исключением случаев, предусмотренных п. 2.1, 2.2 статьи 52 Градостроительного кодекса РФ.</w:t>
            </w:r>
          </w:p>
        </w:tc>
      </w:tr>
      <w:tr w:rsidR="00A87E27" w:rsidRPr="00A87E27" w:rsidTr="009A2433">
        <w:tc>
          <w:tcPr>
            <w:tcW w:w="3085" w:type="dxa"/>
          </w:tcPr>
          <w:p w:rsidR="00A87E27" w:rsidRPr="00A87E27" w:rsidRDefault="00A87E27" w:rsidP="00A87E27">
            <w:pPr>
              <w:spacing w:before="0" w:after="0"/>
              <w:ind w:firstLine="0"/>
              <w:jc w:val="left"/>
              <w:rPr>
                <w:b/>
              </w:rPr>
            </w:pPr>
            <w:r w:rsidRPr="00A87E27">
              <w:t>Привлечение субподрядчиков (соисполнителей)</w:t>
            </w:r>
          </w:p>
        </w:tc>
        <w:tc>
          <w:tcPr>
            <w:tcW w:w="6804" w:type="dxa"/>
          </w:tcPr>
          <w:p w:rsidR="00A87E27" w:rsidRPr="00A87E27" w:rsidRDefault="00A87E27" w:rsidP="00A87E27">
            <w:pPr>
              <w:spacing w:before="0" w:after="0"/>
              <w:ind w:firstLine="0"/>
            </w:pPr>
            <w:r w:rsidRPr="00A87E27">
              <w:t xml:space="preserve">Исполнитель вправе выполнять работы своими силами или с привлечением </w:t>
            </w:r>
            <w:proofErr w:type="spellStart"/>
            <w:r w:rsidRPr="00A87E27">
              <w:t>субисполнителей</w:t>
            </w:r>
            <w:proofErr w:type="spellEnd"/>
            <w:r w:rsidRPr="00A87E27">
              <w:t xml:space="preserve"> (субподрядчиков) на отдельные виды работ по согласованию с Заказчиком.</w:t>
            </w:r>
          </w:p>
        </w:tc>
      </w:tr>
      <w:tr w:rsidR="00A87E27" w:rsidRPr="00A87E27" w:rsidTr="009A2433">
        <w:tc>
          <w:tcPr>
            <w:tcW w:w="3085" w:type="dxa"/>
          </w:tcPr>
          <w:p w:rsidR="00A87E27" w:rsidRPr="00A87E27" w:rsidRDefault="00A87E27" w:rsidP="00A87E27">
            <w:pPr>
              <w:spacing w:before="0" w:after="0"/>
              <w:ind w:firstLine="0"/>
              <w:jc w:val="left"/>
            </w:pPr>
            <w:r w:rsidRPr="00A87E27">
              <w:t>Дополнительные требования</w:t>
            </w:r>
          </w:p>
        </w:tc>
        <w:tc>
          <w:tcPr>
            <w:tcW w:w="6804" w:type="dxa"/>
          </w:tcPr>
          <w:p w:rsidR="00A87E27" w:rsidRPr="00A87E27" w:rsidRDefault="00A87E27" w:rsidP="00A87E27">
            <w:pPr>
              <w:spacing w:before="0" w:after="0"/>
              <w:ind w:firstLine="0"/>
            </w:pPr>
            <w:r w:rsidRPr="00A87E27">
              <w:t xml:space="preserve">Исполнитель передает Заказчику проектную документацию, на бумажных носителях, </w:t>
            </w:r>
            <w:proofErr w:type="gramStart"/>
            <w:r w:rsidRPr="00A87E27">
              <w:t>сброшюрованные</w:t>
            </w:r>
            <w:proofErr w:type="gramEnd"/>
            <w:r w:rsidRPr="00A87E27">
              <w:t>, в 4-х экземплярах.</w:t>
            </w:r>
          </w:p>
          <w:p w:rsidR="00A87E27" w:rsidRPr="00A87E27" w:rsidRDefault="00A87E27" w:rsidP="00A87E27">
            <w:pPr>
              <w:spacing w:before="0" w:after="0"/>
              <w:ind w:firstLine="0"/>
            </w:pPr>
            <w:r w:rsidRPr="00A87E27">
              <w:t>Электронные копии передаются Заказчику на CD-R дисках в 2-х экземплярах.</w:t>
            </w:r>
          </w:p>
          <w:p w:rsidR="00A87E27" w:rsidRPr="00A87E27" w:rsidRDefault="00A87E27" w:rsidP="00A87E27">
            <w:pPr>
              <w:spacing w:before="0" w:after="0"/>
              <w:ind w:firstLine="0"/>
            </w:pPr>
            <w:r w:rsidRPr="00A87E27">
              <w:t xml:space="preserve">Состав и содержание диска должны соответствовать комплекту документации. </w:t>
            </w:r>
          </w:p>
          <w:p w:rsidR="00A87E27" w:rsidRPr="00A87E27" w:rsidRDefault="00A87E27" w:rsidP="00A87E27">
            <w:pPr>
              <w:spacing w:before="0" w:after="0"/>
              <w:ind w:firstLine="0"/>
            </w:pPr>
            <w:r w:rsidRPr="00A87E27">
              <w:t xml:space="preserve">Файлы должны нормально открываться в режиме просмотра средствами операционной системы </w:t>
            </w:r>
            <w:proofErr w:type="spellStart"/>
            <w:r w:rsidRPr="00A87E27">
              <w:t>Windows</w:t>
            </w:r>
            <w:proofErr w:type="spellEnd"/>
            <w:r w:rsidRPr="00A87E27">
              <w:t xml:space="preserve"> 7</w:t>
            </w:r>
          </w:p>
          <w:p w:rsidR="00A87E27" w:rsidRPr="00A87E27" w:rsidRDefault="00A87E27" w:rsidP="00A87E27">
            <w:pPr>
              <w:spacing w:before="0" w:after="0"/>
              <w:ind w:firstLine="0"/>
            </w:pPr>
            <w:r w:rsidRPr="00A87E27">
              <w:t xml:space="preserve">Формат графических материалов – </w:t>
            </w:r>
            <w:proofErr w:type="spellStart"/>
            <w:r w:rsidRPr="00A87E27">
              <w:t>dwg</w:t>
            </w:r>
            <w:proofErr w:type="spellEnd"/>
            <w:r w:rsidRPr="00A87E27">
              <w:t xml:space="preserve"> (</w:t>
            </w:r>
            <w:proofErr w:type="spellStart"/>
            <w:r w:rsidRPr="00A87E27">
              <w:t>AutoCAD</w:t>
            </w:r>
            <w:proofErr w:type="spellEnd"/>
            <w:r w:rsidRPr="00A87E27">
              <w:t xml:space="preserve">). При использовании в системе </w:t>
            </w:r>
            <w:proofErr w:type="spellStart"/>
            <w:r w:rsidRPr="00A87E27">
              <w:t>AutoCAD</w:t>
            </w:r>
            <w:proofErr w:type="spellEnd"/>
            <w:r w:rsidRPr="00A87E27">
              <w:t xml:space="preserve"> оригинальных шрифтов, форм линий и блоков, они также должны быть переданы. </w:t>
            </w:r>
          </w:p>
          <w:p w:rsidR="00A87E27" w:rsidRPr="00A87E27" w:rsidRDefault="00A87E27" w:rsidP="00A87E27">
            <w:pPr>
              <w:spacing w:before="0" w:after="0"/>
              <w:ind w:firstLine="0"/>
            </w:pPr>
            <w:r w:rsidRPr="00A87E27">
              <w:t xml:space="preserve">Формат текстовых материалов – </w:t>
            </w:r>
            <w:proofErr w:type="spellStart"/>
            <w:r w:rsidRPr="00A87E27">
              <w:t>doc</w:t>
            </w:r>
            <w:proofErr w:type="spellEnd"/>
            <w:r w:rsidRPr="00A87E27">
              <w:t xml:space="preserve"> (MS </w:t>
            </w:r>
            <w:proofErr w:type="spellStart"/>
            <w:r w:rsidRPr="00A87E27">
              <w:t>Word</w:t>
            </w:r>
            <w:proofErr w:type="spellEnd"/>
            <w:r w:rsidRPr="00A87E27">
              <w:t xml:space="preserve">) и </w:t>
            </w:r>
            <w:proofErr w:type="spellStart"/>
            <w:r w:rsidRPr="00A87E27">
              <w:t>xls</w:t>
            </w:r>
            <w:proofErr w:type="spellEnd"/>
            <w:r w:rsidRPr="00A87E27">
              <w:t xml:space="preserve"> (MS </w:t>
            </w:r>
            <w:proofErr w:type="spellStart"/>
            <w:r w:rsidRPr="00A87E27">
              <w:t>Excel</w:t>
            </w:r>
            <w:proofErr w:type="spellEnd"/>
            <w:r w:rsidRPr="00A87E27">
              <w:t xml:space="preserve">). Формат растровых изображений – </w:t>
            </w:r>
            <w:proofErr w:type="spellStart"/>
            <w:r w:rsidRPr="00A87E27">
              <w:t>jpeg</w:t>
            </w:r>
            <w:proofErr w:type="spellEnd"/>
            <w:r w:rsidRPr="00A87E27">
              <w:t xml:space="preserve">. </w:t>
            </w:r>
            <w:proofErr w:type="spellStart"/>
            <w:r w:rsidRPr="00A87E27">
              <w:t>pdf</w:t>
            </w:r>
            <w:proofErr w:type="spellEnd"/>
            <w:r w:rsidRPr="00A87E27">
              <w:t>.</w:t>
            </w:r>
          </w:p>
          <w:p w:rsidR="00A87E27" w:rsidRPr="00A87E27" w:rsidRDefault="00A87E27" w:rsidP="00A87E27">
            <w:pPr>
              <w:spacing w:before="0" w:after="0"/>
              <w:ind w:firstLine="0"/>
            </w:pPr>
            <w:r w:rsidRPr="00A87E27">
              <w:t xml:space="preserve">Формат смет - ГРАНД-смета и в формате </w:t>
            </w:r>
            <w:proofErr w:type="spellStart"/>
            <w:r w:rsidRPr="00A87E27">
              <w:t>xls</w:t>
            </w:r>
            <w:proofErr w:type="spellEnd"/>
            <w:r w:rsidRPr="00A87E27">
              <w:t xml:space="preserve"> (</w:t>
            </w:r>
            <w:proofErr w:type="spellStart"/>
            <w:r w:rsidRPr="00A87E27">
              <w:t>Excel</w:t>
            </w:r>
            <w:proofErr w:type="spellEnd"/>
            <w:r w:rsidRPr="00A87E27">
              <w:t>).</w:t>
            </w:r>
          </w:p>
          <w:p w:rsidR="00A87E27" w:rsidRPr="00A87E27" w:rsidRDefault="00A87E27" w:rsidP="00A87E27">
            <w:pPr>
              <w:spacing w:before="0" w:after="0"/>
              <w:ind w:firstLine="0"/>
            </w:pPr>
            <w:r w:rsidRPr="00A87E27">
              <w:t>Также вся проектная документация с подписями и печатями в отсканированном виде передается на CD-R дисках в двух экземплярах.</w:t>
            </w:r>
          </w:p>
        </w:tc>
      </w:tr>
      <w:tr w:rsidR="009A2433" w:rsidRPr="00A87E27" w:rsidTr="009A2433">
        <w:tc>
          <w:tcPr>
            <w:tcW w:w="3085" w:type="dxa"/>
          </w:tcPr>
          <w:p w:rsidR="009A2433" w:rsidRPr="00A87E27" w:rsidRDefault="009A2433" w:rsidP="00A87E27">
            <w:pPr>
              <w:spacing w:before="0" w:after="0"/>
              <w:ind w:firstLine="0"/>
              <w:jc w:val="left"/>
            </w:pPr>
            <w:r>
              <w:t>Приложение</w:t>
            </w:r>
            <w:r w:rsidR="008A689A">
              <w:t xml:space="preserve"> №1</w:t>
            </w:r>
          </w:p>
        </w:tc>
        <w:tc>
          <w:tcPr>
            <w:tcW w:w="6804" w:type="dxa"/>
          </w:tcPr>
          <w:p w:rsidR="009A2433" w:rsidRPr="00A87E27" w:rsidRDefault="009A2433" w:rsidP="009A2433">
            <w:pPr>
              <w:spacing w:before="0" w:after="0"/>
              <w:ind w:firstLine="0"/>
            </w:pPr>
            <w:r>
              <w:t>Требования для составления сметной документации</w:t>
            </w:r>
          </w:p>
        </w:tc>
      </w:tr>
    </w:tbl>
    <w:p w:rsidR="00C01B00" w:rsidRPr="00462848" w:rsidRDefault="00C01B00" w:rsidP="00462848">
      <w:pPr>
        <w:spacing w:before="0" w:after="0" w:line="276" w:lineRule="auto"/>
        <w:ind w:firstLine="0"/>
        <w:jc w:val="center"/>
        <w:rPr>
          <w:b/>
          <w:sz w:val="22"/>
          <w:szCs w:val="22"/>
        </w:rPr>
      </w:pPr>
    </w:p>
    <w:p w:rsidR="00AE7376" w:rsidRPr="005A7428" w:rsidRDefault="00AE7376" w:rsidP="00AE7376">
      <w:pPr>
        <w:spacing w:after="0"/>
        <w:ind w:right="-286"/>
        <w:jc w:val="center"/>
        <w:rPr>
          <w:b/>
          <w:bCs/>
          <w:sz w:val="22"/>
          <w:szCs w:val="22"/>
        </w:rPr>
      </w:pPr>
      <w:r w:rsidRPr="005A7428">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4816CD" w:rsidRPr="005A7428" w:rsidTr="009D1072">
        <w:trPr>
          <w:trHeight w:hRule="exact" w:val="286"/>
        </w:trPr>
        <w:tc>
          <w:tcPr>
            <w:tcW w:w="5070" w:type="dxa"/>
            <w:vMerge w:val="restart"/>
          </w:tcPr>
          <w:p w:rsidR="004816CD" w:rsidRPr="005A7428" w:rsidRDefault="004816CD" w:rsidP="004816CD">
            <w:pPr>
              <w:tabs>
                <w:tab w:val="left" w:pos="6240"/>
              </w:tabs>
              <w:spacing w:before="0" w:after="0"/>
              <w:ind w:firstLine="0"/>
              <w:rPr>
                <w:b/>
              </w:rPr>
            </w:pPr>
          </w:p>
        </w:tc>
        <w:tc>
          <w:tcPr>
            <w:tcW w:w="4677" w:type="dxa"/>
          </w:tcPr>
          <w:p w:rsidR="004816CD" w:rsidRPr="005A7428" w:rsidRDefault="004816CD" w:rsidP="009D1072">
            <w:pPr>
              <w:spacing w:before="0" w:after="0"/>
              <w:ind w:firstLine="0"/>
              <w:rPr>
                <w:b/>
              </w:rPr>
            </w:pPr>
          </w:p>
        </w:tc>
      </w:tr>
      <w:tr w:rsidR="004816CD" w:rsidRPr="005A7428" w:rsidTr="009D1072">
        <w:tc>
          <w:tcPr>
            <w:tcW w:w="5070" w:type="dxa"/>
            <w:vMerge/>
          </w:tcPr>
          <w:p w:rsidR="004816CD" w:rsidRPr="005A7428" w:rsidRDefault="004816CD" w:rsidP="009D1072">
            <w:pPr>
              <w:autoSpaceDE w:val="0"/>
              <w:autoSpaceDN w:val="0"/>
              <w:adjustRightInd w:val="0"/>
              <w:spacing w:before="0" w:after="0"/>
              <w:ind w:firstLine="0"/>
              <w:rPr>
                <w:b/>
              </w:rPr>
            </w:pPr>
          </w:p>
        </w:tc>
        <w:tc>
          <w:tcPr>
            <w:tcW w:w="4677" w:type="dxa"/>
          </w:tcPr>
          <w:p w:rsidR="004816CD" w:rsidRPr="005A7428" w:rsidRDefault="004816CD" w:rsidP="009D1072">
            <w:pPr>
              <w:tabs>
                <w:tab w:val="left" w:pos="5490"/>
              </w:tabs>
              <w:spacing w:before="0" w:after="0"/>
              <w:ind w:firstLine="0"/>
              <w:rPr>
                <w:iCs/>
              </w:rPr>
            </w:pPr>
          </w:p>
        </w:tc>
      </w:tr>
    </w:tbl>
    <w:p w:rsidR="00903616" w:rsidRPr="005A7428"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5A7428" w:rsidTr="000D0D54">
        <w:trPr>
          <w:trHeight w:val="1649"/>
          <w:jc w:val="center"/>
        </w:trPr>
        <w:tc>
          <w:tcPr>
            <w:tcW w:w="2557" w:type="pct"/>
          </w:tcPr>
          <w:p w:rsidR="004816CD" w:rsidRPr="005A7428" w:rsidRDefault="004816CD" w:rsidP="004816CD">
            <w:pPr>
              <w:spacing w:before="0" w:after="0"/>
              <w:ind w:firstLine="0"/>
              <w:jc w:val="left"/>
              <w:rPr>
                <w:b/>
              </w:rPr>
            </w:pPr>
            <w:r w:rsidRPr="005A7428">
              <w:rPr>
                <w:b/>
                <w:sz w:val="22"/>
                <w:szCs w:val="22"/>
              </w:rPr>
              <w:t>ЗАКАЗЧИК:</w:t>
            </w:r>
          </w:p>
          <w:p w:rsidR="004816CD" w:rsidRPr="005A7428" w:rsidRDefault="004816CD" w:rsidP="004816CD">
            <w:pPr>
              <w:tabs>
                <w:tab w:val="left" w:pos="6240"/>
              </w:tabs>
              <w:spacing w:before="0" w:after="0"/>
              <w:ind w:firstLine="0"/>
              <w:rPr>
                <w:b/>
              </w:rPr>
            </w:pPr>
            <w:r w:rsidRPr="005A7428">
              <w:rPr>
                <w:b/>
                <w:sz w:val="22"/>
                <w:szCs w:val="22"/>
              </w:rPr>
              <w:t>НАО «Красная поляна»</w:t>
            </w:r>
          </w:p>
          <w:p w:rsidR="00AE7376" w:rsidRPr="005A7428" w:rsidRDefault="00AE7376" w:rsidP="004816CD">
            <w:pPr>
              <w:tabs>
                <w:tab w:val="left" w:pos="5490"/>
              </w:tabs>
              <w:spacing w:before="0" w:after="0"/>
              <w:ind w:firstLine="0"/>
            </w:pPr>
            <w:r w:rsidRPr="005A7428">
              <w:rPr>
                <w:sz w:val="22"/>
                <w:szCs w:val="22"/>
              </w:rPr>
              <w:t xml:space="preserve">Генеральный директор </w:t>
            </w:r>
          </w:p>
          <w:p w:rsidR="00AE7376" w:rsidRPr="005A7428" w:rsidRDefault="00AE7376" w:rsidP="00C01B00">
            <w:pPr>
              <w:tabs>
                <w:tab w:val="left" w:pos="5490"/>
              </w:tabs>
              <w:spacing w:before="0" w:after="0"/>
              <w:ind w:left="142" w:firstLine="0"/>
            </w:pPr>
          </w:p>
          <w:p w:rsidR="00AE7376" w:rsidRPr="005A7428" w:rsidRDefault="00AE7376" w:rsidP="004816CD">
            <w:pPr>
              <w:tabs>
                <w:tab w:val="left" w:pos="5490"/>
              </w:tabs>
              <w:spacing w:before="0" w:after="0"/>
              <w:ind w:firstLine="0"/>
            </w:pPr>
            <w:r w:rsidRPr="005A7428">
              <w:rPr>
                <w:sz w:val="22"/>
                <w:szCs w:val="22"/>
              </w:rPr>
              <w:t>_________________/А.А. Круковский/</w:t>
            </w:r>
          </w:p>
          <w:p w:rsidR="00AE7376" w:rsidRPr="005A7428" w:rsidRDefault="00AE7376" w:rsidP="00C01B00">
            <w:pPr>
              <w:spacing w:before="0" w:after="0"/>
              <w:ind w:firstLine="0"/>
            </w:pPr>
            <w:r w:rsidRPr="005A7428">
              <w:rPr>
                <w:b/>
                <w:sz w:val="22"/>
                <w:szCs w:val="22"/>
              </w:rPr>
              <w:t>М.П.</w:t>
            </w:r>
          </w:p>
        </w:tc>
        <w:tc>
          <w:tcPr>
            <w:tcW w:w="2443" w:type="pct"/>
          </w:tcPr>
          <w:p w:rsidR="00AE7376" w:rsidRPr="005A7428" w:rsidRDefault="004816CD" w:rsidP="00C01B00">
            <w:pPr>
              <w:spacing w:before="0" w:after="0"/>
              <w:ind w:firstLine="0"/>
            </w:pPr>
            <w:r w:rsidRPr="005A7428">
              <w:rPr>
                <w:b/>
                <w:sz w:val="22"/>
                <w:szCs w:val="22"/>
              </w:rPr>
              <w:t>ПОДРЯДЧИК:</w:t>
            </w:r>
          </w:p>
          <w:p w:rsidR="00AE7376" w:rsidRPr="005A7428" w:rsidRDefault="00AE7376" w:rsidP="00C01B00">
            <w:pPr>
              <w:spacing w:before="0" w:after="0"/>
              <w:ind w:firstLine="0"/>
            </w:pPr>
          </w:p>
          <w:p w:rsidR="00DA1C74" w:rsidRPr="005A7428" w:rsidRDefault="00DA1C74" w:rsidP="00C01B00">
            <w:pPr>
              <w:spacing w:before="0" w:after="0"/>
              <w:ind w:firstLine="0"/>
            </w:pPr>
          </w:p>
          <w:p w:rsidR="00DA1C74" w:rsidRPr="005A7428" w:rsidRDefault="00DA1C74" w:rsidP="00C01B00">
            <w:pPr>
              <w:spacing w:before="0" w:after="0"/>
              <w:ind w:firstLine="0"/>
            </w:pPr>
          </w:p>
          <w:p w:rsidR="00AE7376" w:rsidRPr="005A7428" w:rsidRDefault="00AE7376" w:rsidP="00C01B00">
            <w:pPr>
              <w:spacing w:before="0" w:after="0"/>
              <w:ind w:firstLine="0"/>
              <w:rPr>
                <w:bCs/>
              </w:rPr>
            </w:pPr>
            <w:r w:rsidRPr="005A7428">
              <w:rPr>
                <w:sz w:val="22"/>
                <w:szCs w:val="22"/>
              </w:rPr>
              <w:t>______</w:t>
            </w:r>
            <w:r w:rsidRPr="005A7428">
              <w:rPr>
                <w:bCs/>
                <w:sz w:val="22"/>
                <w:szCs w:val="22"/>
              </w:rPr>
              <w:t>___________/__________________/</w:t>
            </w:r>
          </w:p>
          <w:p w:rsidR="00AE7376" w:rsidRPr="005A7428" w:rsidRDefault="00AE7376" w:rsidP="00C01B00">
            <w:pPr>
              <w:spacing w:before="0" w:after="0"/>
              <w:ind w:firstLine="0"/>
              <w:rPr>
                <w:bCs/>
              </w:rPr>
            </w:pPr>
            <w:r w:rsidRPr="005A7428">
              <w:rPr>
                <w:b/>
                <w:sz w:val="22"/>
                <w:szCs w:val="22"/>
              </w:rPr>
              <w:t>М.П.</w:t>
            </w:r>
          </w:p>
          <w:p w:rsidR="00AE7376" w:rsidRPr="005A7428" w:rsidRDefault="00AE7376" w:rsidP="00C01B00">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Pr="009A2433" w:rsidRDefault="009A2433" w:rsidP="009A2433">
      <w:pPr>
        <w:spacing w:before="0" w:after="0" w:line="276" w:lineRule="auto"/>
        <w:ind w:left="6237" w:firstLine="0"/>
        <w:jc w:val="right"/>
        <w:rPr>
          <w:szCs w:val="22"/>
        </w:rPr>
      </w:pPr>
      <w:r w:rsidRPr="009A2433">
        <w:rPr>
          <w:szCs w:val="22"/>
        </w:rPr>
        <w:t xml:space="preserve">Приложение №1 </w:t>
      </w:r>
    </w:p>
    <w:p w:rsidR="009A2433" w:rsidRPr="009A2433" w:rsidRDefault="009A2433" w:rsidP="009A2433">
      <w:pPr>
        <w:spacing w:before="0" w:after="0" w:line="276" w:lineRule="auto"/>
        <w:ind w:left="6237" w:firstLine="0"/>
        <w:jc w:val="right"/>
        <w:rPr>
          <w:szCs w:val="22"/>
        </w:rPr>
      </w:pPr>
      <w:r w:rsidRPr="009A2433">
        <w:rPr>
          <w:szCs w:val="22"/>
        </w:rPr>
        <w:t>к техническому заданию</w:t>
      </w:r>
    </w:p>
    <w:p w:rsidR="009A2433" w:rsidRPr="009A2433" w:rsidRDefault="009A2433" w:rsidP="009A2433">
      <w:pPr>
        <w:spacing w:before="0" w:line="276" w:lineRule="auto"/>
        <w:ind w:firstLine="0"/>
        <w:jc w:val="center"/>
        <w:rPr>
          <w:rFonts w:eastAsia="Calibri"/>
          <w:b/>
          <w:color w:val="000000"/>
          <w:szCs w:val="22"/>
        </w:rPr>
      </w:pPr>
      <w:r w:rsidRPr="009A2433">
        <w:rPr>
          <w:rFonts w:eastAsia="Calibri"/>
          <w:b/>
          <w:color w:val="000000"/>
          <w:szCs w:val="22"/>
        </w:rPr>
        <w:t xml:space="preserve">Требования для составления сметной документации  </w:t>
      </w:r>
    </w:p>
    <w:p w:rsidR="009A2433" w:rsidRPr="009A2433" w:rsidRDefault="009A2433" w:rsidP="009A2433">
      <w:pPr>
        <w:spacing w:before="0" w:line="276" w:lineRule="auto"/>
        <w:ind w:firstLine="0"/>
        <w:jc w:val="center"/>
        <w:rPr>
          <w:rFonts w:eastAsia="Calibri"/>
          <w:b/>
          <w:color w:val="000000"/>
          <w:szCs w:val="22"/>
        </w:rPr>
      </w:pPr>
      <w:r w:rsidRPr="009A2433">
        <w:rPr>
          <w:rFonts w:eastAsia="Calibri"/>
          <w:b/>
          <w:color w:val="000000"/>
          <w:szCs w:val="22"/>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9A2433" w:rsidRPr="009A2433" w:rsidTr="00896E37">
        <w:trPr>
          <w:trHeight w:val="495"/>
          <w:tblHeader/>
          <w:jc w:val="center"/>
        </w:trPr>
        <w:tc>
          <w:tcPr>
            <w:tcW w:w="598" w:type="dxa"/>
            <w:vAlign w:val="center"/>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w:t>
            </w:r>
          </w:p>
          <w:p w:rsidR="009A2433" w:rsidRPr="009A2433" w:rsidRDefault="009A2433" w:rsidP="009A2433">
            <w:pPr>
              <w:spacing w:before="0" w:after="0" w:line="276" w:lineRule="auto"/>
              <w:ind w:firstLine="0"/>
              <w:jc w:val="center"/>
              <w:rPr>
                <w:rFonts w:eastAsia="Calibri"/>
                <w:b/>
                <w:color w:val="000000"/>
                <w:sz w:val="20"/>
                <w:szCs w:val="20"/>
              </w:rPr>
            </w:pPr>
            <w:proofErr w:type="gramStart"/>
            <w:r w:rsidRPr="009A2433">
              <w:rPr>
                <w:rFonts w:eastAsia="Calibri"/>
                <w:b/>
                <w:color w:val="000000"/>
                <w:sz w:val="20"/>
                <w:szCs w:val="20"/>
              </w:rPr>
              <w:t>п</w:t>
            </w:r>
            <w:proofErr w:type="gramEnd"/>
            <w:r w:rsidRPr="009A2433">
              <w:rPr>
                <w:rFonts w:eastAsia="Calibri"/>
                <w:b/>
                <w:color w:val="000000"/>
                <w:sz w:val="20"/>
                <w:szCs w:val="20"/>
              </w:rPr>
              <w:t>/п</w:t>
            </w:r>
          </w:p>
        </w:tc>
        <w:tc>
          <w:tcPr>
            <w:tcW w:w="3168" w:type="dxa"/>
            <w:vAlign w:val="center"/>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Наименование</w:t>
            </w:r>
          </w:p>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показателя</w:t>
            </w:r>
          </w:p>
        </w:tc>
        <w:tc>
          <w:tcPr>
            <w:tcW w:w="6233" w:type="dxa"/>
            <w:vAlign w:val="center"/>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Показатель</w:t>
            </w:r>
          </w:p>
        </w:tc>
      </w:tr>
      <w:tr w:rsidR="009A2433" w:rsidRPr="009A2433" w:rsidTr="00896E37">
        <w:trPr>
          <w:trHeight w:val="262"/>
          <w:jc w:val="center"/>
        </w:trPr>
        <w:tc>
          <w:tcPr>
            <w:tcW w:w="598" w:type="dxa"/>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1</w:t>
            </w:r>
          </w:p>
        </w:tc>
        <w:tc>
          <w:tcPr>
            <w:tcW w:w="3168" w:type="dxa"/>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2</w:t>
            </w:r>
          </w:p>
        </w:tc>
        <w:tc>
          <w:tcPr>
            <w:tcW w:w="6233" w:type="dxa"/>
          </w:tcPr>
          <w:p w:rsidR="009A2433" w:rsidRPr="009A2433" w:rsidRDefault="009A2433" w:rsidP="009A2433">
            <w:pPr>
              <w:spacing w:before="0" w:after="0" w:line="276" w:lineRule="auto"/>
              <w:ind w:firstLine="0"/>
              <w:jc w:val="center"/>
              <w:rPr>
                <w:rFonts w:eastAsia="Calibri"/>
                <w:b/>
                <w:color w:val="000000"/>
                <w:sz w:val="20"/>
                <w:szCs w:val="20"/>
              </w:rPr>
            </w:pPr>
            <w:r w:rsidRPr="009A2433">
              <w:rPr>
                <w:rFonts w:eastAsia="Calibri"/>
                <w:b/>
                <w:color w:val="000000"/>
                <w:sz w:val="20"/>
                <w:szCs w:val="20"/>
              </w:rPr>
              <w:t>3</w:t>
            </w:r>
          </w:p>
        </w:tc>
      </w:tr>
      <w:tr w:rsidR="009A2433" w:rsidRPr="009A2433" w:rsidTr="00896E37">
        <w:trPr>
          <w:trHeight w:val="749"/>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1.</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Нормативная база и пересчет в текущие цены</w:t>
            </w:r>
          </w:p>
        </w:tc>
        <w:tc>
          <w:tcPr>
            <w:tcW w:w="6233" w:type="dxa"/>
          </w:tcPr>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9A2433">
              <w:rPr>
                <w:rFonts w:eastAsia="Calibri"/>
                <w:color w:val="000000"/>
                <w:sz w:val="20"/>
                <w:szCs w:val="20"/>
              </w:rPr>
              <w:t>редакции</w:t>
            </w:r>
            <w:proofErr w:type="gramEnd"/>
            <w:r w:rsidRPr="009A2433">
              <w:rPr>
                <w:rFonts w:eastAsia="Calibri"/>
                <w:color w:val="000000"/>
                <w:sz w:val="20"/>
                <w:szCs w:val="20"/>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b/>
                <w:color w:val="000000"/>
                <w:sz w:val="20"/>
                <w:szCs w:val="20"/>
              </w:rPr>
              <w:t xml:space="preserve">При этом перерасчет стоимости из базового уровня цен в текущий осуществлять с использованием поквартальных прогнозных </w:t>
            </w:r>
            <w:r w:rsidRPr="009A2433">
              <w:rPr>
                <w:rFonts w:eastAsia="Calibri"/>
                <w:color w:val="000000"/>
                <w:sz w:val="20"/>
                <w:szCs w:val="20"/>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9A2433" w:rsidRPr="009A2433" w:rsidTr="00896E37">
        <w:trPr>
          <w:trHeight w:val="749"/>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2.</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 xml:space="preserve">Стоимость 1 </w:t>
            </w:r>
            <w:proofErr w:type="spellStart"/>
            <w:r w:rsidRPr="009A2433">
              <w:rPr>
                <w:rFonts w:eastAsia="Calibri"/>
                <w:color w:val="000000"/>
                <w:sz w:val="20"/>
                <w:szCs w:val="20"/>
              </w:rPr>
              <w:t>маш</w:t>
            </w:r>
            <w:proofErr w:type="spellEnd"/>
            <w:r w:rsidRPr="009A2433">
              <w:rPr>
                <w:rFonts w:eastAsia="Calibri"/>
                <w:color w:val="000000"/>
                <w:sz w:val="20"/>
                <w:szCs w:val="20"/>
              </w:rPr>
              <w:t>-час эксплуатации строительных машин и механизмов</w:t>
            </w:r>
          </w:p>
        </w:tc>
        <w:tc>
          <w:tcPr>
            <w:tcW w:w="6233"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В соответствии с действующими нормативными документами</w:t>
            </w:r>
            <w:r w:rsidRPr="009A2433" w:rsidDel="00530A45">
              <w:rPr>
                <w:rFonts w:eastAsia="Calibri"/>
                <w:color w:val="000000"/>
                <w:sz w:val="20"/>
                <w:szCs w:val="20"/>
              </w:rPr>
              <w:t xml:space="preserve"> </w:t>
            </w:r>
          </w:p>
          <w:p w:rsidR="009A2433" w:rsidRPr="009A2433" w:rsidRDefault="009A2433" w:rsidP="009A2433">
            <w:pPr>
              <w:spacing w:before="0" w:after="0" w:line="276" w:lineRule="auto"/>
              <w:ind w:firstLine="0"/>
              <w:jc w:val="left"/>
              <w:rPr>
                <w:rFonts w:eastAsia="Calibri"/>
                <w:color w:val="000000"/>
                <w:sz w:val="20"/>
                <w:szCs w:val="20"/>
              </w:rPr>
            </w:pPr>
          </w:p>
        </w:tc>
      </w:tr>
      <w:tr w:rsidR="009A2433" w:rsidRPr="009A2433" w:rsidTr="00896E37">
        <w:trPr>
          <w:trHeight w:val="772"/>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3.</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 xml:space="preserve">Цены на материалы, изделия и полуфабрикаты. </w:t>
            </w:r>
          </w:p>
        </w:tc>
        <w:tc>
          <w:tcPr>
            <w:tcW w:w="6233" w:type="dxa"/>
          </w:tcPr>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9A2433">
              <w:rPr>
                <w:rFonts w:eastAsia="Calibri"/>
                <w:color w:val="000000"/>
                <w:sz w:val="20"/>
                <w:szCs w:val="20"/>
              </w:rPr>
              <w:t>от</w:t>
            </w:r>
            <w:proofErr w:type="gramEnd"/>
            <w:r w:rsidRPr="009A2433">
              <w:rPr>
                <w:rFonts w:eastAsia="Calibri"/>
                <w:color w:val="000000"/>
                <w:sz w:val="20"/>
                <w:szCs w:val="20"/>
              </w:rPr>
              <w:t xml:space="preserve"> учтенных в базовых нормах, определяется по СССЦ/ФГИС. В случаи отсутствия в СССЦ/ФГИС – на основании коммерческого предложения (прайс-листа) поставщика</w:t>
            </w:r>
            <w:r w:rsidRPr="009A2433">
              <w:rPr>
                <w:rFonts w:eastAsia="Calibri"/>
                <w:bCs/>
                <w:color w:val="000000"/>
                <w:sz w:val="20"/>
                <w:szCs w:val="20"/>
              </w:rPr>
              <w:t>.</w:t>
            </w:r>
            <w:r w:rsidRPr="009A2433">
              <w:rPr>
                <w:rFonts w:eastAsia="Calibri"/>
                <w:color w:val="000000"/>
                <w:sz w:val="20"/>
                <w:szCs w:val="20"/>
              </w:rPr>
              <w:t xml:space="preserve"> При этом должны быть отражены наименование поставщика, дата предложения или </w:t>
            </w:r>
            <w:proofErr w:type="spellStart"/>
            <w:proofErr w:type="gramStart"/>
            <w:r w:rsidRPr="009A2433">
              <w:rPr>
                <w:rFonts w:eastAsia="Calibri"/>
                <w:color w:val="000000"/>
                <w:sz w:val="20"/>
                <w:szCs w:val="20"/>
              </w:rPr>
              <w:t>гипер</w:t>
            </w:r>
            <w:proofErr w:type="spellEnd"/>
            <w:r w:rsidRPr="009A2433">
              <w:rPr>
                <w:rFonts w:eastAsia="Calibri"/>
                <w:color w:val="000000"/>
                <w:sz w:val="20"/>
                <w:szCs w:val="20"/>
              </w:rPr>
              <w:t>-ссылка</w:t>
            </w:r>
            <w:proofErr w:type="gramEnd"/>
            <w:r w:rsidRPr="009A2433">
              <w:rPr>
                <w:rFonts w:eastAsia="Calibri"/>
                <w:color w:val="000000"/>
                <w:sz w:val="20"/>
                <w:szCs w:val="20"/>
              </w:rPr>
              <w:t xml:space="preserve">, при условии получения информации из открытых источников сети-Интернет. </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w:t>
            </w:r>
            <w:r w:rsidRPr="009A2433">
              <w:rPr>
                <w:rFonts w:eastAsia="Calibri"/>
                <w:color w:val="000000"/>
                <w:sz w:val="20"/>
                <w:szCs w:val="20"/>
              </w:rPr>
              <w:lastRenderedPageBreak/>
              <w:t xml:space="preserve">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 </w:t>
            </w:r>
          </w:p>
        </w:tc>
      </w:tr>
      <w:tr w:rsidR="009A2433" w:rsidRPr="009A2433" w:rsidTr="00896E37">
        <w:trPr>
          <w:trHeight w:val="772"/>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lastRenderedPageBreak/>
              <w:t>4.</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Оплату труда рабочих-строителей и рабочих, обслуживающих строительные машины и механизмы</w:t>
            </w:r>
          </w:p>
        </w:tc>
        <w:tc>
          <w:tcPr>
            <w:tcW w:w="6233"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В соответствии с действующими нормативными документами.</w:t>
            </w:r>
          </w:p>
          <w:p w:rsidR="009A2433" w:rsidRPr="009A2433" w:rsidRDefault="009A2433" w:rsidP="009A2433">
            <w:pPr>
              <w:spacing w:before="0" w:after="0" w:line="276" w:lineRule="auto"/>
              <w:ind w:firstLine="0"/>
              <w:jc w:val="left"/>
              <w:rPr>
                <w:rFonts w:eastAsia="Calibri"/>
                <w:color w:val="000000"/>
                <w:sz w:val="20"/>
                <w:szCs w:val="20"/>
              </w:rPr>
            </w:pPr>
          </w:p>
        </w:tc>
      </w:tr>
      <w:tr w:rsidR="009A2433" w:rsidRPr="009A2433" w:rsidTr="00896E37">
        <w:trPr>
          <w:trHeight w:val="157"/>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5.</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Стоимость оборудования, мебели и инвентаря</w:t>
            </w:r>
          </w:p>
        </w:tc>
        <w:tc>
          <w:tcPr>
            <w:tcW w:w="6233" w:type="dxa"/>
          </w:tcPr>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Стоимость оборудования, мебели и инвентаря, отсутствующих в ТССЦ/ФССЦ или по условиям строительства отличных </w:t>
            </w:r>
            <w:proofErr w:type="gramStart"/>
            <w:r w:rsidRPr="009A2433">
              <w:rPr>
                <w:rFonts w:eastAsia="Calibri"/>
                <w:color w:val="000000"/>
                <w:sz w:val="20"/>
                <w:szCs w:val="20"/>
              </w:rPr>
              <w:t>от</w:t>
            </w:r>
            <w:proofErr w:type="gramEnd"/>
            <w:r w:rsidRPr="009A2433">
              <w:rPr>
                <w:rFonts w:eastAsia="Calibri"/>
                <w:color w:val="000000"/>
                <w:sz w:val="20"/>
                <w:szCs w:val="20"/>
              </w:rPr>
              <w:t xml:space="preserve"> учтенных в базовых нормах, определять по СССЦ/ФГИС. В случаи отсутствия в СССЦ/ФГИС – на основании коммерческого предложения (прайс-листа) поставщика </w:t>
            </w:r>
            <w:r w:rsidRPr="009A2433">
              <w:rPr>
                <w:rFonts w:eastAsia="Calibri"/>
                <w:bCs/>
                <w:color w:val="000000"/>
                <w:sz w:val="20"/>
                <w:szCs w:val="20"/>
              </w:rPr>
              <w:t xml:space="preserve">(приложение № 3 к Техническому заданию), где </w:t>
            </w:r>
            <w:r w:rsidRPr="009A2433">
              <w:rPr>
                <w:rFonts w:eastAsia="Calibri"/>
                <w:color w:val="000000"/>
                <w:sz w:val="20"/>
                <w:szCs w:val="20"/>
              </w:rPr>
              <w:t xml:space="preserve">должны быть отражены наименование поставщика, дата предложения или </w:t>
            </w:r>
            <w:proofErr w:type="spellStart"/>
            <w:proofErr w:type="gramStart"/>
            <w:r w:rsidRPr="009A2433">
              <w:rPr>
                <w:rFonts w:eastAsia="Calibri"/>
                <w:color w:val="000000"/>
                <w:sz w:val="20"/>
                <w:szCs w:val="20"/>
              </w:rPr>
              <w:t>гипер</w:t>
            </w:r>
            <w:proofErr w:type="spellEnd"/>
            <w:r w:rsidRPr="009A2433">
              <w:rPr>
                <w:rFonts w:eastAsia="Calibri"/>
                <w:color w:val="000000"/>
                <w:sz w:val="20"/>
                <w:szCs w:val="20"/>
              </w:rPr>
              <w:t>-ссылка</w:t>
            </w:r>
            <w:proofErr w:type="gramEnd"/>
            <w:r w:rsidRPr="009A2433">
              <w:rPr>
                <w:rFonts w:eastAsia="Calibri"/>
                <w:color w:val="000000"/>
                <w:sz w:val="20"/>
                <w:szCs w:val="20"/>
              </w:rPr>
              <w:t>, при условии получения информации из открытых источников сети-Интернет.</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9A2433" w:rsidRPr="009A2433" w:rsidRDefault="009A2433" w:rsidP="009A2433">
            <w:pPr>
              <w:autoSpaceDE w:val="0"/>
              <w:autoSpaceDN w:val="0"/>
              <w:adjustRightInd w:val="0"/>
              <w:spacing w:before="0" w:after="0" w:line="276" w:lineRule="auto"/>
              <w:ind w:firstLine="0"/>
              <w:rPr>
                <w:rFonts w:eastAsia="Calibri"/>
                <w:color w:val="000000"/>
                <w:sz w:val="20"/>
                <w:szCs w:val="20"/>
              </w:rPr>
            </w:pPr>
            <w:r w:rsidRPr="009A2433">
              <w:rPr>
                <w:rFonts w:eastAsia="Calibri"/>
                <w:color w:val="000000"/>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9A2433" w:rsidRPr="009A2433" w:rsidTr="00896E37">
        <w:trPr>
          <w:trHeight w:val="263"/>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6.</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Размеры накладных расходов</w:t>
            </w:r>
          </w:p>
        </w:tc>
        <w:tc>
          <w:tcPr>
            <w:tcW w:w="6233" w:type="dxa"/>
          </w:tcPr>
          <w:p w:rsidR="009A2433" w:rsidRPr="009A2433" w:rsidRDefault="009A2433" w:rsidP="009A2433">
            <w:pPr>
              <w:spacing w:before="0" w:after="0" w:line="276" w:lineRule="auto"/>
              <w:ind w:firstLine="0"/>
              <w:jc w:val="left"/>
              <w:rPr>
                <w:rFonts w:eastAsia="Calibri"/>
                <w:sz w:val="20"/>
                <w:szCs w:val="20"/>
              </w:rPr>
            </w:pPr>
            <w:r w:rsidRPr="009A2433">
              <w:rPr>
                <w:rFonts w:eastAsia="Calibri"/>
                <w:sz w:val="20"/>
                <w:szCs w:val="20"/>
              </w:rPr>
              <w:t>В соответствии с действующими нормативными документами по определению величины накладных расходов.</w:t>
            </w:r>
          </w:p>
        </w:tc>
      </w:tr>
      <w:tr w:rsidR="009A2433" w:rsidRPr="009A2433" w:rsidTr="00896E37">
        <w:trPr>
          <w:trHeight w:val="263"/>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7.</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Размер сметной прибыли</w:t>
            </w:r>
          </w:p>
        </w:tc>
        <w:tc>
          <w:tcPr>
            <w:tcW w:w="6233" w:type="dxa"/>
          </w:tcPr>
          <w:p w:rsidR="009A2433" w:rsidRPr="009A2433" w:rsidRDefault="009A2433" w:rsidP="009A2433">
            <w:pPr>
              <w:spacing w:before="0" w:after="0" w:line="276" w:lineRule="auto"/>
              <w:ind w:firstLine="0"/>
              <w:jc w:val="left"/>
              <w:rPr>
                <w:rFonts w:eastAsia="Calibri"/>
                <w:sz w:val="20"/>
                <w:szCs w:val="20"/>
              </w:rPr>
            </w:pPr>
            <w:r w:rsidRPr="009A2433">
              <w:rPr>
                <w:rFonts w:eastAsia="Calibri"/>
                <w:sz w:val="20"/>
                <w:szCs w:val="20"/>
              </w:rPr>
              <w:t>В соответствии с действующими нормативными документами по определению величины сметной прибыли.</w:t>
            </w:r>
          </w:p>
        </w:tc>
      </w:tr>
      <w:tr w:rsidR="009A2433" w:rsidRPr="009A2433" w:rsidTr="00896E37">
        <w:trPr>
          <w:trHeight w:val="510"/>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8.</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 xml:space="preserve">Затраты на временные здания и сооружения </w:t>
            </w:r>
          </w:p>
        </w:tc>
        <w:tc>
          <w:tcPr>
            <w:tcW w:w="6233" w:type="dxa"/>
          </w:tcPr>
          <w:p w:rsidR="009A2433" w:rsidRPr="009A2433" w:rsidRDefault="009A2433" w:rsidP="009A2433">
            <w:pPr>
              <w:spacing w:before="0" w:after="0" w:line="276" w:lineRule="auto"/>
              <w:ind w:firstLine="0"/>
              <w:jc w:val="left"/>
              <w:rPr>
                <w:rFonts w:eastAsia="Calibri"/>
                <w:sz w:val="20"/>
                <w:szCs w:val="20"/>
              </w:rPr>
            </w:pPr>
            <w:r w:rsidRPr="009A2433">
              <w:rPr>
                <w:rFonts w:eastAsia="Calibri"/>
                <w:sz w:val="20"/>
                <w:szCs w:val="20"/>
              </w:rPr>
              <w:t>В соответствии с действующими нормативными документами по определению затрат на временные здания и вооружения.</w:t>
            </w:r>
          </w:p>
        </w:tc>
      </w:tr>
      <w:tr w:rsidR="009A2433" w:rsidRPr="009A2433" w:rsidTr="00896E37">
        <w:trPr>
          <w:trHeight w:val="350"/>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9.</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Затраты по гл. 1, 9, 10, 12</w:t>
            </w:r>
          </w:p>
        </w:tc>
        <w:tc>
          <w:tcPr>
            <w:tcW w:w="6233"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 xml:space="preserve">Затраты предусматриваются в соответствии с действующими нормативными документами. </w:t>
            </w:r>
          </w:p>
        </w:tc>
      </w:tr>
      <w:tr w:rsidR="009A2433" w:rsidRPr="009A2433" w:rsidTr="009A2433">
        <w:trPr>
          <w:trHeight w:val="594"/>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10.</w:t>
            </w:r>
          </w:p>
        </w:tc>
        <w:tc>
          <w:tcPr>
            <w:tcW w:w="3168" w:type="dxa"/>
          </w:tcPr>
          <w:p w:rsidR="009A2433" w:rsidRPr="009A2433" w:rsidRDefault="009A2433" w:rsidP="009A2433">
            <w:pPr>
              <w:spacing w:before="0" w:after="0" w:line="276" w:lineRule="auto"/>
              <w:ind w:firstLine="0"/>
              <w:jc w:val="left"/>
              <w:rPr>
                <w:rFonts w:eastAsia="Calibri"/>
                <w:sz w:val="20"/>
                <w:szCs w:val="20"/>
              </w:rPr>
            </w:pPr>
            <w:r w:rsidRPr="009A2433">
              <w:rPr>
                <w:rFonts w:eastAsia="Calibri"/>
                <w:sz w:val="20"/>
                <w:szCs w:val="20"/>
              </w:rPr>
              <w:t xml:space="preserve">Резерв средств на непредвиденные расходы </w:t>
            </w:r>
          </w:p>
        </w:tc>
        <w:tc>
          <w:tcPr>
            <w:tcW w:w="6233" w:type="dxa"/>
          </w:tcPr>
          <w:p w:rsidR="009A2433" w:rsidRPr="009A2433" w:rsidRDefault="009A2433" w:rsidP="009A2433">
            <w:pPr>
              <w:spacing w:before="0" w:after="0" w:line="276" w:lineRule="auto"/>
              <w:ind w:left="2" w:right="80" w:firstLine="0"/>
              <w:rPr>
                <w:rFonts w:eastAsia="Calibri"/>
                <w:sz w:val="20"/>
                <w:szCs w:val="20"/>
              </w:rPr>
            </w:pPr>
            <w:r w:rsidRPr="009A2433">
              <w:rPr>
                <w:rFonts w:eastAsia="Calibri"/>
                <w:sz w:val="20"/>
                <w:szCs w:val="20"/>
              </w:rPr>
              <w:t>Наличие резерва и величина средств на непредвиденные расх</w:t>
            </w:r>
            <w:r>
              <w:rPr>
                <w:rFonts w:eastAsia="Calibri"/>
                <w:sz w:val="20"/>
                <w:szCs w:val="20"/>
              </w:rPr>
              <w:t>оды устанавливается Заказчиком.</w:t>
            </w:r>
          </w:p>
        </w:tc>
      </w:tr>
      <w:tr w:rsidR="009A2433" w:rsidRPr="009A2433" w:rsidTr="00896E37">
        <w:trPr>
          <w:trHeight w:val="985"/>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t>11.</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9A2433" w:rsidRPr="009A2433" w:rsidRDefault="009A2433" w:rsidP="009A2433">
            <w:pPr>
              <w:spacing w:before="0" w:after="0" w:line="276" w:lineRule="auto"/>
              <w:ind w:left="2" w:right="80" w:firstLine="0"/>
              <w:jc w:val="left"/>
              <w:rPr>
                <w:rFonts w:eastAsia="Calibri"/>
                <w:color w:val="000000"/>
                <w:sz w:val="20"/>
                <w:szCs w:val="20"/>
              </w:rPr>
            </w:pPr>
            <w:r w:rsidRPr="009A2433">
              <w:rPr>
                <w:rFonts w:eastAsia="Calibri"/>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r w:rsidR="009A2433" w:rsidRPr="009A2433" w:rsidTr="00896E37">
        <w:trPr>
          <w:trHeight w:val="530"/>
          <w:jc w:val="center"/>
        </w:trPr>
        <w:tc>
          <w:tcPr>
            <w:tcW w:w="598" w:type="dxa"/>
          </w:tcPr>
          <w:p w:rsidR="009A2433" w:rsidRPr="009A2433" w:rsidRDefault="009A2433" w:rsidP="009A2433">
            <w:pPr>
              <w:spacing w:before="0" w:after="0" w:line="276" w:lineRule="auto"/>
              <w:ind w:firstLine="0"/>
              <w:jc w:val="center"/>
              <w:rPr>
                <w:rFonts w:eastAsia="Calibri"/>
                <w:color w:val="000000"/>
                <w:sz w:val="20"/>
                <w:szCs w:val="20"/>
              </w:rPr>
            </w:pPr>
            <w:r w:rsidRPr="009A2433">
              <w:rPr>
                <w:rFonts w:eastAsia="Calibri"/>
                <w:color w:val="000000"/>
                <w:sz w:val="20"/>
                <w:szCs w:val="20"/>
              </w:rPr>
              <w:lastRenderedPageBreak/>
              <w:t>12.</w:t>
            </w:r>
          </w:p>
        </w:tc>
        <w:tc>
          <w:tcPr>
            <w:tcW w:w="3168"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Дополнительные требования</w:t>
            </w:r>
          </w:p>
        </w:tc>
        <w:tc>
          <w:tcPr>
            <w:tcW w:w="6233" w:type="dxa"/>
          </w:tcPr>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9A2433" w:rsidRPr="009A2433" w:rsidRDefault="009A2433" w:rsidP="009A2433">
            <w:pPr>
              <w:spacing w:before="0" w:after="0" w:line="276" w:lineRule="auto"/>
              <w:ind w:firstLine="0"/>
              <w:jc w:val="left"/>
              <w:rPr>
                <w:rFonts w:eastAsia="Calibri"/>
                <w:color w:val="000000"/>
                <w:sz w:val="20"/>
                <w:szCs w:val="20"/>
              </w:rPr>
            </w:pPr>
            <w:r w:rsidRPr="009A2433">
              <w:rPr>
                <w:rFonts w:eastAsia="Calibri"/>
                <w:color w:val="000000"/>
                <w:sz w:val="20"/>
                <w:szCs w:val="20"/>
              </w:rPr>
              <w:t>В пояснительной записке к сметной документации указывается все применяемые индексы и коэффициенты.</w:t>
            </w:r>
          </w:p>
        </w:tc>
      </w:tr>
    </w:tbl>
    <w:p w:rsidR="009A2433" w:rsidRPr="009A2433" w:rsidRDefault="009A2433" w:rsidP="009A2433">
      <w:pPr>
        <w:tabs>
          <w:tab w:val="left" w:pos="7300"/>
        </w:tabs>
        <w:spacing w:before="0" w:after="0" w:line="276" w:lineRule="auto"/>
        <w:ind w:firstLine="0"/>
        <w:jc w:val="center"/>
        <w:rPr>
          <w:rFonts w:eastAsia="Calibri"/>
          <w:b/>
          <w:szCs w:val="22"/>
        </w:rPr>
      </w:pPr>
    </w:p>
    <w:p w:rsidR="009A2433" w:rsidRPr="009A2433" w:rsidRDefault="009A2433" w:rsidP="009A2433">
      <w:pPr>
        <w:tabs>
          <w:tab w:val="left" w:pos="7300"/>
        </w:tabs>
        <w:spacing w:before="0" w:after="0" w:line="276" w:lineRule="auto"/>
        <w:ind w:firstLine="0"/>
        <w:jc w:val="center"/>
        <w:rPr>
          <w:rFonts w:eastAsia="Calibri"/>
          <w:b/>
          <w:szCs w:val="22"/>
        </w:rPr>
      </w:pPr>
      <w:r w:rsidRPr="009A2433">
        <w:rPr>
          <w:rFonts w:eastAsia="Calibri"/>
          <w:b/>
          <w:szCs w:val="22"/>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9A2433" w:rsidRPr="009A2433" w:rsidTr="00896E37">
        <w:trPr>
          <w:trHeight w:val="495"/>
          <w:tblHeader/>
          <w:jc w:val="center"/>
        </w:trPr>
        <w:tc>
          <w:tcPr>
            <w:tcW w:w="598" w:type="dxa"/>
            <w:shd w:val="clear" w:color="auto" w:fill="auto"/>
            <w:vAlign w:val="center"/>
          </w:tcPr>
          <w:p w:rsidR="009A2433" w:rsidRPr="009A2433" w:rsidRDefault="009A2433" w:rsidP="009A2433">
            <w:pPr>
              <w:spacing w:before="0" w:after="0" w:line="276" w:lineRule="auto"/>
              <w:ind w:firstLine="0"/>
              <w:jc w:val="center"/>
              <w:rPr>
                <w:rFonts w:eastAsia="Calibri"/>
                <w:b/>
                <w:sz w:val="20"/>
                <w:szCs w:val="20"/>
              </w:rPr>
            </w:pPr>
            <w:r w:rsidRPr="009A2433">
              <w:rPr>
                <w:rFonts w:eastAsia="Calibri"/>
                <w:b/>
                <w:sz w:val="20"/>
                <w:szCs w:val="20"/>
              </w:rPr>
              <w:t>№</w:t>
            </w:r>
          </w:p>
          <w:p w:rsidR="009A2433" w:rsidRPr="009A2433" w:rsidRDefault="009A2433" w:rsidP="009A2433">
            <w:pPr>
              <w:spacing w:before="0" w:after="0" w:line="276" w:lineRule="auto"/>
              <w:ind w:firstLine="0"/>
              <w:jc w:val="center"/>
              <w:rPr>
                <w:rFonts w:eastAsia="Calibri"/>
                <w:b/>
                <w:sz w:val="20"/>
                <w:szCs w:val="20"/>
              </w:rPr>
            </w:pPr>
            <w:proofErr w:type="gramStart"/>
            <w:r w:rsidRPr="009A2433">
              <w:rPr>
                <w:rFonts w:eastAsia="Calibri"/>
                <w:b/>
                <w:sz w:val="20"/>
                <w:szCs w:val="20"/>
              </w:rPr>
              <w:t>п</w:t>
            </w:r>
            <w:proofErr w:type="gramEnd"/>
            <w:r w:rsidRPr="009A2433">
              <w:rPr>
                <w:rFonts w:eastAsia="Calibri"/>
                <w:b/>
                <w:sz w:val="20"/>
                <w:szCs w:val="20"/>
              </w:rPr>
              <w:t>/п</w:t>
            </w:r>
          </w:p>
        </w:tc>
        <w:tc>
          <w:tcPr>
            <w:tcW w:w="3168" w:type="dxa"/>
            <w:shd w:val="clear" w:color="auto" w:fill="auto"/>
            <w:vAlign w:val="center"/>
          </w:tcPr>
          <w:p w:rsidR="009A2433" w:rsidRPr="009A2433" w:rsidRDefault="009A2433" w:rsidP="009A2433">
            <w:pPr>
              <w:spacing w:before="0" w:after="0" w:line="276" w:lineRule="auto"/>
              <w:ind w:firstLine="0"/>
              <w:jc w:val="center"/>
              <w:rPr>
                <w:rFonts w:eastAsia="Calibri"/>
                <w:b/>
                <w:sz w:val="20"/>
                <w:szCs w:val="20"/>
              </w:rPr>
            </w:pPr>
            <w:r w:rsidRPr="009A2433">
              <w:rPr>
                <w:rFonts w:eastAsia="Calibri"/>
                <w:b/>
                <w:sz w:val="20"/>
                <w:szCs w:val="20"/>
              </w:rPr>
              <w:t>Наименование</w:t>
            </w:r>
          </w:p>
          <w:p w:rsidR="009A2433" w:rsidRPr="009A2433" w:rsidRDefault="009A2433" w:rsidP="009A2433">
            <w:pPr>
              <w:spacing w:before="0" w:after="0" w:line="276" w:lineRule="auto"/>
              <w:ind w:firstLine="0"/>
              <w:jc w:val="center"/>
              <w:rPr>
                <w:rFonts w:eastAsia="Calibri"/>
                <w:b/>
                <w:sz w:val="20"/>
                <w:szCs w:val="20"/>
              </w:rPr>
            </w:pPr>
            <w:r w:rsidRPr="009A2433">
              <w:rPr>
                <w:rFonts w:eastAsia="Calibri"/>
                <w:b/>
                <w:sz w:val="20"/>
                <w:szCs w:val="20"/>
              </w:rPr>
              <w:t>показателя</w:t>
            </w:r>
          </w:p>
        </w:tc>
        <w:tc>
          <w:tcPr>
            <w:tcW w:w="6233" w:type="dxa"/>
            <w:shd w:val="clear" w:color="auto" w:fill="auto"/>
            <w:vAlign w:val="center"/>
          </w:tcPr>
          <w:p w:rsidR="009A2433" w:rsidRPr="009A2433" w:rsidRDefault="009A2433" w:rsidP="009A2433">
            <w:pPr>
              <w:spacing w:before="0" w:after="0" w:line="276" w:lineRule="auto"/>
              <w:ind w:firstLine="0"/>
              <w:jc w:val="center"/>
              <w:rPr>
                <w:rFonts w:eastAsia="Calibri"/>
                <w:b/>
                <w:sz w:val="20"/>
                <w:szCs w:val="20"/>
              </w:rPr>
            </w:pPr>
            <w:r w:rsidRPr="009A2433">
              <w:rPr>
                <w:rFonts w:eastAsia="Calibri"/>
                <w:b/>
                <w:sz w:val="20"/>
                <w:szCs w:val="20"/>
              </w:rPr>
              <w:t>Показатель</w:t>
            </w:r>
          </w:p>
        </w:tc>
      </w:tr>
      <w:tr w:rsidR="009A2433" w:rsidRPr="009A2433" w:rsidTr="00896E37">
        <w:trPr>
          <w:trHeight w:val="262"/>
          <w:jc w:val="center"/>
        </w:trPr>
        <w:tc>
          <w:tcPr>
            <w:tcW w:w="598" w:type="dxa"/>
            <w:shd w:val="clear" w:color="auto" w:fill="auto"/>
          </w:tcPr>
          <w:p w:rsidR="009A2433" w:rsidRPr="009A2433" w:rsidRDefault="009A2433" w:rsidP="009A2433">
            <w:pPr>
              <w:spacing w:before="0" w:after="0" w:line="276" w:lineRule="auto"/>
              <w:ind w:firstLine="0"/>
              <w:jc w:val="center"/>
              <w:rPr>
                <w:rFonts w:eastAsia="Calibri"/>
                <w:b/>
                <w:sz w:val="20"/>
                <w:szCs w:val="20"/>
              </w:rPr>
            </w:pPr>
            <w:r w:rsidRPr="009A2433">
              <w:rPr>
                <w:rFonts w:eastAsia="Calibri"/>
                <w:b/>
                <w:sz w:val="20"/>
                <w:szCs w:val="20"/>
              </w:rPr>
              <w:t>1</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b/>
                <w:sz w:val="20"/>
                <w:szCs w:val="20"/>
              </w:rPr>
            </w:pPr>
            <w:r w:rsidRPr="009A2433">
              <w:rPr>
                <w:rFonts w:eastAsia="Calibri"/>
                <w:b/>
                <w:sz w:val="20"/>
                <w:szCs w:val="20"/>
              </w:rPr>
              <w:t>2</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b/>
                <w:sz w:val="20"/>
                <w:szCs w:val="20"/>
              </w:rPr>
            </w:pPr>
            <w:r w:rsidRPr="009A2433">
              <w:rPr>
                <w:rFonts w:eastAsia="Calibri"/>
                <w:b/>
                <w:sz w:val="20"/>
                <w:szCs w:val="20"/>
              </w:rPr>
              <w:t>3</w:t>
            </w:r>
          </w:p>
        </w:tc>
      </w:tr>
      <w:tr w:rsidR="009A2433" w:rsidRPr="009A2433" w:rsidTr="00896E37">
        <w:trPr>
          <w:trHeight w:val="749"/>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1.</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Нормативная база и уровень цен</w:t>
            </w:r>
          </w:p>
        </w:tc>
        <w:tc>
          <w:tcPr>
            <w:tcW w:w="6233" w:type="dxa"/>
            <w:shd w:val="clear" w:color="auto" w:fill="auto"/>
          </w:tcPr>
          <w:p w:rsidR="009A2433" w:rsidRPr="009A2433" w:rsidRDefault="009A2433" w:rsidP="009A2433">
            <w:pPr>
              <w:widowControl w:val="0"/>
              <w:shd w:val="clear" w:color="auto" w:fill="FFFFFF"/>
              <w:autoSpaceDE w:val="0"/>
              <w:autoSpaceDN w:val="0"/>
              <w:adjustRightInd w:val="0"/>
              <w:spacing w:before="0" w:after="0" w:line="276" w:lineRule="auto"/>
              <w:ind w:firstLine="0"/>
              <w:rPr>
                <w:rFonts w:eastAsia="Calibri"/>
                <w:sz w:val="20"/>
                <w:szCs w:val="20"/>
              </w:rPr>
            </w:pPr>
            <w:r w:rsidRPr="009A2433">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9A2433">
              <w:rPr>
                <w:rFonts w:eastAsia="Calibri"/>
                <w:sz w:val="20"/>
                <w:szCs w:val="20"/>
              </w:rPr>
              <w:t>редакции</w:t>
            </w:r>
            <w:proofErr w:type="gramEnd"/>
            <w:r w:rsidRPr="009A2433">
              <w:rPr>
                <w:rFonts w:eastAsia="Calibri"/>
                <w:sz w:val="20"/>
                <w:szCs w:val="20"/>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9A2433" w:rsidRPr="009A2433" w:rsidRDefault="009A2433" w:rsidP="009A2433">
            <w:pPr>
              <w:spacing w:before="0" w:after="0" w:line="276" w:lineRule="auto"/>
              <w:ind w:firstLine="0"/>
              <w:contextualSpacing/>
              <w:rPr>
                <w:rFonts w:eastAsia="Calibri"/>
                <w:sz w:val="20"/>
                <w:szCs w:val="20"/>
              </w:rPr>
            </w:pPr>
            <w:r w:rsidRPr="009A2433">
              <w:rPr>
                <w:rFonts w:eastAsia="Calibri"/>
                <w:sz w:val="20"/>
                <w:szCs w:val="20"/>
              </w:rPr>
              <w:t xml:space="preserve">Стоимость ресурсов учитывается </w:t>
            </w:r>
            <w:proofErr w:type="gramStart"/>
            <w:r w:rsidRPr="009A2433">
              <w:rPr>
                <w:rFonts w:eastAsia="Calibri"/>
                <w:sz w:val="20"/>
                <w:szCs w:val="20"/>
              </w:rPr>
              <w:t>согласно сборников</w:t>
            </w:r>
            <w:proofErr w:type="gramEnd"/>
            <w:r w:rsidRPr="009A2433">
              <w:rPr>
                <w:rFonts w:eastAsia="Calibri"/>
                <w:sz w:val="20"/>
                <w:szCs w:val="20"/>
              </w:rPr>
              <w:t xml:space="preserve"> текущих средних сметных цен Краснодарского края, разработанных ГАУ «</w:t>
            </w:r>
            <w:proofErr w:type="spellStart"/>
            <w:r w:rsidRPr="009A2433">
              <w:rPr>
                <w:rFonts w:eastAsia="Calibri"/>
                <w:sz w:val="20"/>
                <w:szCs w:val="20"/>
              </w:rPr>
              <w:t>Краснодаркрайгосэкспертиза</w:t>
            </w:r>
            <w:proofErr w:type="spellEnd"/>
            <w:r w:rsidRPr="009A2433">
              <w:rPr>
                <w:rFonts w:eastAsia="Calibri"/>
                <w:sz w:val="20"/>
                <w:szCs w:val="20"/>
              </w:rPr>
              <w:t xml:space="preserve">» (далее – СССЦ)/ сборников сметных цен строительных ресурсов, определенных </w:t>
            </w:r>
            <w:proofErr w:type="spellStart"/>
            <w:r w:rsidRPr="009A2433">
              <w:rPr>
                <w:rFonts w:eastAsia="Calibri"/>
                <w:sz w:val="20"/>
                <w:szCs w:val="20"/>
              </w:rPr>
              <w:t>Министерстовом</w:t>
            </w:r>
            <w:proofErr w:type="spellEnd"/>
            <w:r w:rsidRPr="009A2433">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9A2433" w:rsidRPr="009A2433" w:rsidRDefault="009A2433" w:rsidP="009A2433">
            <w:pPr>
              <w:spacing w:before="0" w:after="0" w:line="276" w:lineRule="auto"/>
              <w:ind w:firstLine="708"/>
              <w:rPr>
                <w:rFonts w:eastAsia="Calibri"/>
                <w:color w:val="FF0000"/>
                <w:sz w:val="20"/>
                <w:szCs w:val="20"/>
              </w:rPr>
            </w:pPr>
            <w:proofErr w:type="gramStart"/>
            <w:r w:rsidRPr="009A2433">
              <w:rPr>
                <w:rFonts w:eastAsia="Calibri"/>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9A2433" w:rsidRPr="009A2433" w:rsidTr="00896E37">
        <w:trPr>
          <w:trHeight w:val="749"/>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 xml:space="preserve"> 2.</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Стоимость 1 </w:t>
            </w:r>
            <w:proofErr w:type="spellStart"/>
            <w:r w:rsidRPr="009A2433">
              <w:rPr>
                <w:rFonts w:eastAsia="Calibri"/>
                <w:sz w:val="20"/>
                <w:szCs w:val="20"/>
              </w:rPr>
              <w:t>маш</w:t>
            </w:r>
            <w:proofErr w:type="spellEnd"/>
            <w:r w:rsidRPr="009A2433">
              <w:rPr>
                <w:rFonts w:eastAsia="Calibri"/>
                <w:sz w:val="20"/>
                <w:szCs w:val="20"/>
              </w:rPr>
              <w:t>-час эксплуатации строительных машин и механизмов</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jc w:val="left"/>
              <w:rPr>
                <w:rFonts w:eastAsia="Calibri"/>
                <w:sz w:val="20"/>
                <w:szCs w:val="20"/>
              </w:rPr>
            </w:pPr>
            <w:r w:rsidRPr="009A2433">
              <w:rPr>
                <w:rFonts w:eastAsia="Calibri"/>
                <w:sz w:val="20"/>
                <w:szCs w:val="20"/>
              </w:rPr>
              <w:t xml:space="preserve">В соответствии с действующими нормативными документами. </w:t>
            </w:r>
          </w:p>
        </w:tc>
      </w:tr>
      <w:tr w:rsidR="009A2433" w:rsidRPr="009A2433" w:rsidTr="00896E37">
        <w:trPr>
          <w:trHeight w:val="772"/>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3.</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Цены на материалы, изделия и полуфабрикаты. </w:t>
            </w:r>
          </w:p>
        </w:tc>
        <w:tc>
          <w:tcPr>
            <w:tcW w:w="6233" w:type="dxa"/>
            <w:shd w:val="clear" w:color="auto" w:fill="auto"/>
          </w:tcPr>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9A2433">
              <w:rPr>
                <w:rFonts w:eastAsia="Calibri"/>
                <w:sz w:val="20"/>
                <w:szCs w:val="20"/>
              </w:rPr>
              <w:t>Краснодаркрайгосэкспертиза</w:t>
            </w:r>
            <w:proofErr w:type="spellEnd"/>
            <w:r w:rsidRPr="009A2433">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w:t>
            </w:r>
            <w:proofErr w:type="gramStart"/>
            <w:r w:rsidRPr="009A2433">
              <w:rPr>
                <w:rFonts w:eastAsia="Calibri"/>
                <w:sz w:val="20"/>
                <w:szCs w:val="20"/>
              </w:rPr>
              <w:t>Стоимость применяемых материалов, изделий и конструкций, отсутствующих в СССЦ/ФГИС, включается на основании коммерческого предложения (прайс-листы поставщика.</w:t>
            </w:r>
            <w:proofErr w:type="gramEnd"/>
            <w:r w:rsidRPr="009A2433">
              <w:rPr>
                <w:rFonts w:eastAsia="Calibri"/>
                <w:sz w:val="20"/>
                <w:szCs w:val="20"/>
              </w:rPr>
              <w:t xml:space="preserve"> В </w:t>
            </w:r>
            <w:proofErr w:type="gramStart"/>
            <w:r w:rsidRPr="009A2433">
              <w:rPr>
                <w:rFonts w:eastAsia="Calibri"/>
                <w:sz w:val="20"/>
                <w:szCs w:val="20"/>
              </w:rPr>
              <w:t>нем</w:t>
            </w:r>
            <w:proofErr w:type="gramEnd"/>
            <w:r w:rsidRPr="009A2433">
              <w:rPr>
                <w:rFonts w:eastAsia="Calibri"/>
                <w:sz w:val="20"/>
                <w:szCs w:val="20"/>
              </w:rPr>
              <w:t xml:space="preserve"> должны быть отражены наименование поставщика, дата предложения или </w:t>
            </w:r>
            <w:proofErr w:type="spellStart"/>
            <w:r w:rsidRPr="009A2433">
              <w:rPr>
                <w:rFonts w:eastAsia="Calibri"/>
                <w:sz w:val="20"/>
                <w:szCs w:val="20"/>
              </w:rPr>
              <w:t>гипер</w:t>
            </w:r>
            <w:proofErr w:type="spellEnd"/>
            <w:r w:rsidRPr="009A2433">
              <w:rPr>
                <w:rFonts w:eastAsia="Calibri"/>
                <w:sz w:val="20"/>
                <w:szCs w:val="20"/>
              </w:rPr>
              <w:t>-ссылка, при условии получения информации из открытых источников сети-Интернет</w:t>
            </w:r>
          </w:p>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9A2433" w:rsidRPr="009A2433" w:rsidTr="00896E37">
        <w:trPr>
          <w:trHeight w:val="772"/>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lastRenderedPageBreak/>
              <w:t>4.</w:t>
            </w:r>
          </w:p>
        </w:tc>
        <w:tc>
          <w:tcPr>
            <w:tcW w:w="3168" w:type="dxa"/>
            <w:shd w:val="clear" w:color="auto" w:fill="auto"/>
          </w:tcPr>
          <w:p w:rsidR="009A2433" w:rsidRPr="009A2433" w:rsidRDefault="009A2433" w:rsidP="009A2433">
            <w:pPr>
              <w:widowControl w:val="0"/>
              <w:shd w:val="clear" w:color="auto" w:fill="FFFFFF"/>
              <w:spacing w:before="0" w:after="0" w:line="276" w:lineRule="auto"/>
              <w:ind w:right="55" w:firstLine="0"/>
              <w:rPr>
                <w:rFonts w:eastAsia="Calibri"/>
                <w:sz w:val="20"/>
                <w:szCs w:val="20"/>
              </w:rPr>
            </w:pPr>
            <w:r w:rsidRPr="009A2433">
              <w:rPr>
                <w:rFonts w:eastAsia="Calibri"/>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В соответствии с действующими нормативными документами. </w:t>
            </w:r>
          </w:p>
        </w:tc>
      </w:tr>
      <w:tr w:rsidR="009A2433" w:rsidRPr="009A2433" w:rsidTr="00896E37">
        <w:trPr>
          <w:trHeight w:val="1049"/>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5.</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Стоимость оборудования, мебели и инвентаря</w:t>
            </w:r>
          </w:p>
        </w:tc>
        <w:tc>
          <w:tcPr>
            <w:tcW w:w="6233" w:type="dxa"/>
            <w:shd w:val="clear" w:color="auto" w:fill="auto"/>
          </w:tcPr>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коммерческого предложения (прайс-листа) поставщика. В коммерческом </w:t>
            </w:r>
            <w:proofErr w:type="gramStart"/>
            <w:r w:rsidRPr="009A2433">
              <w:rPr>
                <w:rFonts w:eastAsia="Calibri"/>
                <w:sz w:val="20"/>
                <w:szCs w:val="20"/>
              </w:rPr>
              <w:t>предложении</w:t>
            </w:r>
            <w:proofErr w:type="gramEnd"/>
            <w:r w:rsidRPr="009A2433">
              <w:rPr>
                <w:rFonts w:eastAsia="Calibri"/>
                <w:sz w:val="20"/>
                <w:szCs w:val="20"/>
              </w:rPr>
              <w:t xml:space="preserve"> должны быть отражены наименование поставщика, дата предложения или </w:t>
            </w:r>
            <w:proofErr w:type="spellStart"/>
            <w:r w:rsidRPr="009A2433">
              <w:rPr>
                <w:rFonts w:eastAsia="Calibri"/>
                <w:sz w:val="20"/>
                <w:szCs w:val="20"/>
              </w:rPr>
              <w:t>гипер</w:t>
            </w:r>
            <w:proofErr w:type="spellEnd"/>
            <w:r w:rsidRPr="009A2433">
              <w:rPr>
                <w:rFonts w:eastAsia="Calibri"/>
                <w:sz w:val="20"/>
                <w:szCs w:val="20"/>
              </w:rPr>
              <w:t>-ссылка, при условии получения информации из открытых источников сети-Интернет.</w:t>
            </w:r>
          </w:p>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9A2433" w:rsidRPr="009A2433" w:rsidRDefault="009A2433" w:rsidP="009A2433">
            <w:pPr>
              <w:autoSpaceDE w:val="0"/>
              <w:autoSpaceDN w:val="0"/>
              <w:adjustRightInd w:val="0"/>
              <w:spacing w:before="0" w:after="0" w:line="276" w:lineRule="auto"/>
              <w:ind w:firstLine="0"/>
              <w:rPr>
                <w:rFonts w:eastAsia="Calibri"/>
                <w:sz w:val="20"/>
                <w:szCs w:val="20"/>
              </w:rPr>
            </w:pPr>
            <w:r w:rsidRPr="009A2433">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9A2433" w:rsidRPr="009A2433" w:rsidTr="00896E37">
        <w:trPr>
          <w:trHeight w:val="263"/>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6.</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Размеры накладных расходов</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В соответствии с действующими нормативными документами по определению величины накладных расходов.</w:t>
            </w:r>
          </w:p>
        </w:tc>
      </w:tr>
      <w:tr w:rsidR="009A2433" w:rsidRPr="009A2433" w:rsidTr="00896E37">
        <w:trPr>
          <w:trHeight w:val="263"/>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7.</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Размер сметной прибыли</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В соответствии с действующими нормативными документами по определению величины сметной прибыли. </w:t>
            </w:r>
          </w:p>
        </w:tc>
      </w:tr>
      <w:tr w:rsidR="009A2433" w:rsidRPr="009A2433" w:rsidTr="00896E37">
        <w:trPr>
          <w:trHeight w:val="510"/>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8.</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Затраты на временные здания и сооружения </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В соответствии с действующими нормативными документами по определению затрат на временные здания и вооружения. </w:t>
            </w:r>
          </w:p>
          <w:p w:rsidR="009A2433" w:rsidRPr="009A2433" w:rsidRDefault="009A2433" w:rsidP="009A2433">
            <w:pPr>
              <w:spacing w:before="0" w:after="0" w:line="276" w:lineRule="auto"/>
              <w:ind w:firstLine="0"/>
              <w:rPr>
                <w:rFonts w:eastAsia="Calibri"/>
                <w:sz w:val="20"/>
                <w:szCs w:val="20"/>
              </w:rPr>
            </w:pPr>
            <w:r w:rsidRPr="009A2433">
              <w:rPr>
                <w:rFonts w:eastAsia="Calibri"/>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9A2433" w:rsidRPr="009A2433" w:rsidTr="00896E37">
        <w:trPr>
          <w:trHeight w:val="350"/>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9.</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Затраты по гл. 1, 9, 10, 12 сводного сметного расчета</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 Затраты предусматриваются в соответствии  с </w:t>
            </w:r>
            <w:proofErr w:type="gramStart"/>
            <w:r w:rsidRPr="009A2433">
              <w:rPr>
                <w:rFonts w:eastAsia="Calibri"/>
                <w:sz w:val="20"/>
                <w:szCs w:val="20"/>
              </w:rPr>
              <w:t>действующими</w:t>
            </w:r>
            <w:proofErr w:type="gramEnd"/>
            <w:r w:rsidRPr="009A2433">
              <w:rPr>
                <w:rFonts w:eastAsia="Calibri"/>
                <w:sz w:val="20"/>
                <w:szCs w:val="20"/>
              </w:rPr>
              <w:t xml:space="preserve"> нормативными.</w:t>
            </w:r>
          </w:p>
        </w:tc>
      </w:tr>
      <w:tr w:rsidR="009A2433" w:rsidRPr="009A2433" w:rsidTr="00896E37">
        <w:trPr>
          <w:trHeight w:val="350"/>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10.</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jc w:val="left"/>
              <w:rPr>
                <w:rFonts w:eastAsia="Calibri"/>
                <w:sz w:val="20"/>
                <w:szCs w:val="20"/>
              </w:rPr>
            </w:pPr>
            <w:r w:rsidRPr="009A2433">
              <w:rPr>
                <w:rFonts w:eastAsia="Calibri"/>
                <w:sz w:val="20"/>
                <w:szCs w:val="20"/>
              </w:rPr>
              <w:t xml:space="preserve">Резерв средств на непредвиденные расходы </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Наличие резерва и величина средств на непредвиденные расходы устанавливается Заказчиком. </w:t>
            </w:r>
          </w:p>
        </w:tc>
      </w:tr>
      <w:tr w:rsidR="009A2433" w:rsidRPr="009A2433" w:rsidTr="00896E37">
        <w:trPr>
          <w:trHeight w:val="381"/>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11.</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9A2433" w:rsidRPr="009A2433" w:rsidRDefault="009A2433" w:rsidP="009A2433">
            <w:pPr>
              <w:widowControl w:val="0"/>
              <w:shd w:val="clear" w:color="auto" w:fill="FFFFFF"/>
              <w:spacing w:before="0" w:after="0" w:line="276" w:lineRule="auto"/>
              <w:ind w:left="2" w:right="80" w:firstLine="0"/>
              <w:rPr>
                <w:rFonts w:eastAsia="Calibri"/>
                <w:sz w:val="20"/>
                <w:szCs w:val="20"/>
              </w:rPr>
            </w:pPr>
            <w:r w:rsidRPr="009A2433">
              <w:rPr>
                <w:rFonts w:eastAsia="Calibri"/>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9A2433" w:rsidRPr="009A2433" w:rsidTr="00896E37">
        <w:trPr>
          <w:trHeight w:val="985"/>
          <w:jc w:val="center"/>
        </w:trPr>
        <w:tc>
          <w:tcPr>
            <w:tcW w:w="598" w:type="dxa"/>
            <w:shd w:val="clear" w:color="auto" w:fill="auto"/>
          </w:tcPr>
          <w:p w:rsidR="009A2433" w:rsidRPr="009A2433" w:rsidRDefault="009A2433" w:rsidP="009A2433">
            <w:pPr>
              <w:widowControl w:val="0"/>
              <w:shd w:val="clear" w:color="auto" w:fill="FFFFFF"/>
              <w:spacing w:before="0" w:after="0" w:line="276" w:lineRule="auto"/>
              <w:ind w:firstLine="0"/>
              <w:jc w:val="center"/>
              <w:rPr>
                <w:rFonts w:eastAsia="Calibri"/>
                <w:sz w:val="20"/>
                <w:szCs w:val="20"/>
              </w:rPr>
            </w:pPr>
            <w:r w:rsidRPr="009A2433">
              <w:rPr>
                <w:rFonts w:eastAsia="Calibri"/>
                <w:sz w:val="20"/>
                <w:szCs w:val="20"/>
              </w:rPr>
              <w:t>12.</w:t>
            </w:r>
          </w:p>
        </w:tc>
        <w:tc>
          <w:tcPr>
            <w:tcW w:w="3168"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Дополнительные требования</w:t>
            </w:r>
          </w:p>
        </w:tc>
        <w:tc>
          <w:tcPr>
            <w:tcW w:w="6233" w:type="dxa"/>
            <w:shd w:val="clear" w:color="auto" w:fill="auto"/>
          </w:tcPr>
          <w:p w:rsidR="009A2433" w:rsidRPr="009A2433" w:rsidRDefault="009A2433" w:rsidP="009A2433">
            <w:pPr>
              <w:widowControl w:val="0"/>
              <w:shd w:val="clear" w:color="auto" w:fill="FFFFFF"/>
              <w:spacing w:before="0" w:after="0" w:line="276" w:lineRule="auto"/>
              <w:ind w:firstLine="0"/>
              <w:rPr>
                <w:rFonts w:eastAsia="Calibri"/>
                <w:sz w:val="20"/>
                <w:szCs w:val="20"/>
              </w:rPr>
            </w:pPr>
            <w:r w:rsidRPr="009A2433">
              <w:rPr>
                <w:rFonts w:eastAsia="Calibri"/>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9A2433" w:rsidRPr="009A2433" w:rsidRDefault="009A2433" w:rsidP="009A2433">
            <w:pPr>
              <w:spacing w:before="0" w:after="0" w:line="276" w:lineRule="auto"/>
              <w:ind w:left="2" w:right="80" w:firstLine="0"/>
              <w:rPr>
                <w:rFonts w:eastAsia="Calibri"/>
                <w:sz w:val="20"/>
                <w:szCs w:val="20"/>
              </w:rPr>
            </w:pPr>
            <w:r w:rsidRPr="009A2433">
              <w:rPr>
                <w:rFonts w:eastAsia="Calibri"/>
                <w:sz w:val="20"/>
                <w:szCs w:val="20"/>
              </w:rPr>
              <w:t>В пояснительной записке к сметной документации указываются все применяемые индексы и коэффициенты.</w:t>
            </w:r>
          </w:p>
        </w:tc>
      </w:tr>
    </w:tbl>
    <w:p w:rsidR="009A2433" w:rsidRPr="009A2433" w:rsidRDefault="009A2433" w:rsidP="009A2433">
      <w:pPr>
        <w:spacing w:before="0" w:after="0" w:line="276" w:lineRule="auto"/>
        <w:ind w:right="-2" w:firstLine="0"/>
        <w:jc w:val="left"/>
        <w:rPr>
          <w:szCs w:val="22"/>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9A2433" w:rsidP="00CA2655">
      <w:pPr>
        <w:spacing w:before="0" w:after="200" w:line="276" w:lineRule="auto"/>
        <w:ind w:firstLine="0"/>
        <w:jc w:val="center"/>
        <w:rPr>
          <w:b/>
          <w:i/>
          <w:sz w:val="22"/>
          <w:szCs w:val="22"/>
          <w:lang w:bidi="en-US"/>
        </w:rPr>
      </w:pPr>
      <w:r>
        <w:rPr>
          <w:b/>
          <w:sz w:val="22"/>
          <w:szCs w:val="22"/>
          <w:lang w:bidi="en-US"/>
        </w:rPr>
        <w:t>Объектный сметный расчет</w:t>
      </w:r>
      <w:r w:rsidR="00CA2655" w:rsidRPr="00CA2655">
        <w:rPr>
          <w:b/>
          <w:sz w:val="22"/>
          <w:szCs w:val="22"/>
          <w:lang w:bidi="en-US"/>
        </w:rPr>
        <w:t xml:space="preserve"> </w:t>
      </w:r>
    </w:p>
    <w:p w:rsidR="009A2433" w:rsidRPr="00CA2655" w:rsidRDefault="009A2433" w:rsidP="00CA2655">
      <w:pPr>
        <w:spacing w:before="0" w:after="200" w:line="276" w:lineRule="auto"/>
        <w:ind w:firstLine="0"/>
        <w:jc w:val="center"/>
        <w:rPr>
          <w:b/>
          <w:sz w:val="22"/>
          <w:szCs w:val="22"/>
          <w:lang w:bidi="en-US"/>
        </w:rPr>
      </w:pPr>
      <w:r>
        <w:rPr>
          <w:b/>
          <w:i/>
          <w:sz w:val="22"/>
          <w:szCs w:val="22"/>
          <w:lang w:bidi="en-US"/>
        </w:rPr>
        <w:t>в составе Локальных ресурсных сметных расчетов</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C01B00">
            <w:pPr>
              <w:spacing w:before="0" w:after="0"/>
              <w:ind w:firstLine="0"/>
              <w:jc w:val="left"/>
              <w:rPr>
                <w:b/>
              </w:rPr>
            </w:pPr>
            <w:r w:rsidRPr="00D33B22">
              <w:rPr>
                <w:b/>
                <w:sz w:val="22"/>
                <w:szCs w:val="22"/>
              </w:rPr>
              <w:t>ЗАКАЗЧИК:</w:t>
            </w: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AE7376" w:rsidRPr="00D33B22" w:rsidRDefault="00AE7376" w:rsidP="00C01B00">
            <w:pPr>
              <w:tabs>
                <w:tab w:val="left" w:pos="6240"/>
              </w:tabs>
              <w:spacing w:before="0" w:after="0"/>
              <w:ind w:firstLine="0"/>
              <w:rPr>
                <w:b/>
              </w:rPr>
            </w:pPr>
            <w:r w:rsidRPr="00D33B22">
              <w:rPr>
                <w:b/>
                <w:sz w:val="22"/>
                <w:szCs w:val="22"/>
              </w:rPr>
              <w:t>НАО «Красная поляна»</w:t>
            </w:r>
          </w:p>
          <w:p w:rsidR="00896E37" w:rsidRPr="00346830" w:rsidRDefault="00896E37" w:rsidP="00896E37">
            <w:pPr>
              <w:tabs>
                <w:tab w:val="left" w:pos="5490"/>
              </w:tabs>
              <w:spacing w:before="0" w:after="0"/>
              <w:ind w:left="142" w:firstLine="0"/>
            </w:pPr>
            <w:r w:rsidRPr="00346830">
              <w:rPr>
                <w:sz w:val="22"/>
                <w:szCs w:val="22"/>
              </w:rPr>
              <w:t xml:space="preserve">Генеральный директор </w:t>
            </w:r>
          </w:p>
          <w:p w:rsidR="00896E37" w:rsidRPr="00346830" w:rsidRDefault="00896E37" w:rsidP="00896E37">
            <w:pPr>
              <w:tabs>
                <w:tab w:val="left" w:pos="5490"/>
              </w:tabs>
              <w:spacing w:before="0" w:after="0"/>
              <w:ind w:left="142" w:firstLine="0"/>
            </w:pPr>
          </w:p>
          <w:p w:rsidR="00896E37" w:rsidRPr="00346830" w:rsidRDefault="00896E37" w:rsidP="00896E37">
            <w:pPr>
              <w:tabs>
                <w:tab w:val="left" w:pos="5490"/>
              </w:tabs>
              <w:spacing w:before="0" w:after="0"/>
              <w:ind w:left="142" w:firstLine="0"/>
            </w:pPr>
          </w:p>
          <w:p w:rsidR="00896E37" w:rsidRPr="00346830" w:rsidRDefault="00896E37" w:rsidP="00896E3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w:t>
            </w:r>
          </w:p>
          <w:p w:rsidR="00AE7376" w:rsidRPr="00D33B22" w:rsidRDefault="00896E37" w:rsidP="00896E37">
            <w:pPr>
              <w:autoSpaceDE w:val="0"/>
              <w:autoSpaceDN w:val="0"/>
              <w:adjustRightInd w:val="0"/>
              <w:spacing w:before="0" w:after="0"/>
              <w:ind w:firstLine="0"/>
              <w:rPr>
                <w:b/>
              </w:rPr>
            </w:pPr>
            <w:r>
              <w:rPr>
                <w:b/>
                <w:sz w:val="22"/>
                <w:szCs w:val="22"/>
              </w:rPr>
              <w:t xml:space="preserve">  </w:t>
            </w:r>
            <w:r w:rsidRPr="00903616">
              <w:rPr>
                <w:b/>
                <w:sz w:val="22"/>
                <w:szCs w:val="22"/>
              </w:rPr>
              <w:t>М.П.</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298D"/>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73959"/>
    <w:rsid w:val="0057596A"/>
    <w:rsid w:val="00585352"/>
    <w:rsid w:val="005949DE"/>
    <w:rsid w:val="00596161"/>
    <w:rsid w:val="00596BCA"/>
    <w:rsid w:val="005A7428"/>
    <w:rsid w:val="005A7D92"/>
    <w:rsid w:val="005B5020"/>
    <w:rsid w:val="005B5280"/>
    <w:rsid w:val="005B6834"/>
    <w:rsid w:val="005C697F"/>
    <w:rsid w:val="005C777E"/>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689A"/>
    <w:rsid w:val="008B23DF"/>
    <w:rsid w:val="008B3082"/>
    <w:rsid w:val="008C1D09"/>
    <w:rsid w:val="008C3643"/>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3A91"/>
    <w:rsid w:val="00AD1CCA"/>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04F3"/>
    <w:rsid w:val="00F539C1"/>
    <w:rsid w:val="00F572F8"/>
    <w:rsid w:val="00F6055E"/>
    <w:rsid w:val="00F72386"/>
    <w:rsid w:val="00F81983"/>
    <w:rsid w:val="00F9026C"/>
    <w:rsid w:val="00F977C8"/>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3CEA1-B0F0-4146-BCD2-7D09867FF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9345</Words>
  <Characters>53269</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9</cp:revision>
  <cp:lastPrinted>2014-12-10T06:55:00Z</cp:lastPrinted>
  <dcterms:created xsi:type="dcterms:W3CDTF">2019-09-25T13:45:00Z</dcterms:created>
  <dcterms:modified xsi:type="dcterms:W3CDTF">2019-09-27T09:47:00Z</dcterms:modified>
</cp:coreProperties>
</file>