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7FF6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УТВЕРЖДАЮ:</w:t>
      </w:r>
    </w:p>
    <w:p w:rsidR="006B0BA3" w:rsidRDefault="006B0BA3" w:rsidP="00AF28B2">
      <w:pPr>
        <w:spacing w:line="240" w:lineRule="auto"/>
        <w:ind w:left="5670"/>
        <w:rPr>
          <w:b/>
        </w:rPr>
      </w:pPr>
    </w:p>
    <w:p w:rsidR="005B50DF" w:rsidRDefault="006B0BA3" w:rsidP="00AF28B2">
      <w:pPr>
        <w:spacing w:line="240" w:lineRule="auto"/>
        <w:ind w:left="5670"/>
        <w:rPr>
          <w:b/>
        </w:rPr>
      </w:pPr>
      <w:r>
        <w:rPr>
          <w:b/>
        </w:rPr>
        <w:t>_________________/_____________</w:t>
      </w:r>
      <w:r w:rsidR="005B50DF" w:rsidRPr="00032E24">
        <w:rPr>
          <w:b/>
        </w:rPr>
        <w:t xml:space="preserve"> </w:t>
      </w:r>
    </w:p>
    <w:p w:rsidR="005B50DF" w:rsidRPr="00AF28B2" w:rsidRDefault="005B50DF" w:rsidP="00AF28B2">
      <w:pPr>
        <w:spacing w:line="240" w:lineRule="auto"/>
        <w:ind w:left="5670"/>
        <w:rPr>
          <w:rFonts w:eastAsia="Times New Roman" w:cs="Times New Roman"/>
          <w:sz w:val="32"/>
          <w:szCs w:val="24"/>
        </w:rPr>
      </w:pPr>
      <w:r w:rsidRPr="00032E24">
        <w:rPr>
          <w:b/>
        </w:rPr>
        <w:t xml:space="preserve"> </w:t>
      </w:r>
      <w:r>
        <w:rPr>
          <w:b/>
        </w:rPr>
        <w:t>«</w:t>
      </w:r>
      <w:r w:rsidRPr="00032E24">
        <w:rPr>
          <w:b/>
        </w:rPr>
        <w:t>_</w:t>
      </w:r>
      <w:r>
        <w:rPr>
          <w:b/>
        </w:rPr>
        <w:t>___</w:t>
      </w:r>
      <w:r w:rsidRPr="00032E24">
        <w:rPr>
          <w:b/>
        </w:rPr>
        <w:t>_</w:t>
      </w:r>
      <w:r>
        <w:rPr>
          <w:b/>
        </w:rPr>
        <w:t>»</w:t>
      </w:r>
      <w:r w:rsidRPr="00032E24">
        <w:rPr>
          <w:b/>
        </w:rPr>
        <w:t xml:space="preserve"> _</w:t>
      </w:r>
      <w:r>
        <w:rPr>
          <w:b/>
        </w:rPr>
        <w:t>_</w:t>
      </w:r>
      <w:r w:rsidRPr="00032E24">
        <w:rPr>
          <w:b/>
        </w:rPr>
        <w:t>____</w:t>
      </w:r>
      <w:r w:rsidR="006B0BA3">
        <w:rPr>
          <w:b/>
        </w:rPr>
        <w:t>_____</w:t>
      </w:r>
      <w:r w:rsidRPr="00032E24">
        <w:rPr>
          <w:b/>
        </w:rPr>
        <w:t>_____ 201</w:t>
      </w:r>
      <w:r>
        <w:rPr>
          <w:b/>
        </w:rPr>
        <w:t xml:space="preserve">9 </w:t>
      </w:r>
      <w:r w:rsidRPr="00032E24">
        <w:rPr>
          <w:b/>
        </w:rPr>
        <w:t>г</w:t>
      </w:r>
      <w:r>
        <w:rPr>
          <w:b/>
        </w:rPr>
        <w:t>.</w:t>
      </w:r>
    </w:p>
    <w:p w:rsidR="00217382" w:rsidRDefault="008B7BCE" w:rsidP="0006093E">
      <w:pPr>
        <w:pStyle w:val="1"/>
        <w:rPr>
          <w:rFonts w:eastAsia="Times New Roman"/>
        </w:rPr>
      </w:pPr>
      <w:r>
        <w:rPr>
          <w:rFonts w:eastAsia="Times New Roman"/>
        </w:rPr>
        <w:t xml:space="preserve">ТЕХНИЧЕСКОЕ </w:t>
      </w:r>
      <w:r w:rsidR="0048050B">
        <w:rPr>
          <w:rFonts w:eastAsia="Times New Roman"/>
        </w:rPr>
        <w:t xml:space="preserve">ЗАДАНИЕ </w:t>
      </w:r>
    </w:p>
    <w:p w:rsidR="00B70585" w:rsidRPr="0006093E" w:rsidRDefault="00361428" w:rsidP="00361428">
      <w:pPr>
        <w:spacing w:line="240" w:lineRule="auto"/>
        <w:jc w:val="center"/>
        <w:rPr>
          <w:rFonts w:eastAsia="Times New Roman" w:cs="Times New Roman"/>
          <w:b/>
          <w:szCs w:val="24"/>
        </w:rPr>
      </w:pPr>
      <w:r w:rsidRPr="0006093E">
        <w:rPr>
          <w:rFonts w:eastAsia="Times New Roman" w:cs="Times New Roman"/>
          <w:b/>
          <w:szCs w:val="24"/>
        </w:rPr>
        <w:t xml:space="preserve">на </w:t>
      </w:r>
      <w:r w:rsidR="00977E60" w:rsidRPr="0006093E">
        <w:rPr>
          <w:rFonts w:eastAsia="Times New Roman" w:cs="Times New Roman"/>
          <w:b/>
          <w:szCs w:val="24"/>
        </w:rPr>
        <w:t>ремонтные работы для устройства помещения горнолыжного проката в Гостинице № 4</w:t>
      </w:r>
      <w:r w:rsidR="0097616F" w:rsidRPr="0006093E">
        <w:rPr>
          <w:rFonts w:eastAsia="Times New Roman" w:cs="Times New Roman"/>
          <w:b/>
          <w:szCs w:val="24"/>
        </w:rPr>
        <w:t xml:space="preserve"> на </w:t>
      </w:r>
      <w:proofErr w:type="spellStart"/>
      <w:r w:rsidR="0097616F" w:rsidRPr="0006093E">
        <w:rPr>
          <w:rFonts w:eastAsia="Times New Roman" w:cs="Times New Roman"/>
          <w:b/>
          <w:szCs w:val="24"/>
        </w:rPr>
        <w:t>отм</w:t>
      </w:r>
      <w:proofErr w:type="spellEnd"/>
      <w:r w:rsidR="0097616F" w:rsidRPr="0006093E">
        <w:rPr>
          <w:rFonts w:eastAsia="Times New Roman" w:cs="Times New Roman"/>
          <w:b/>
          <w:szCs w:val="24"/>
        </w:rPr>
        <w:t>. +960, расположенно</w:t>
      </w:r>
      <w:r w:rsidR="00977E60" w:rsidRPr="0006093E">
        <w:rPr>
          <w:rFonts w:eastAsia="Times New Roman" w:cs="Times New Roman"/>
          <w:b/>
          <w:szCs w:val="24"/>
        </w:rPr>
        <w:t>й</w:t>
      </w:r>
      <w:r w:rsidR="0097616F" w:rsidRPr="0006093E">
        <w:rPr>
          <w:rFonts w:eastAsia="Times New Roman" w:cs="Times New Roman"/>
          <w:b/>
          <w:szCs w:val="24"/>
        </w:rPr>
        <w:t xml:space="preserve"> по адресу: 354392 Краснодарский край, г</w:t>
      </w:r>
      <w:r w:rsidR="005F509A" w:rsidRPr="0006093E">
        <w:rPr>
          <w:rFonts w:eastAsia="Times New Roman" w:cs="Times New Roman"/>
          <w:b/>
          <w:szCs w:val="24"/>
        </w:rPr>
        <w:t>.</w:t>
      </w:r>
      <w:r w:rsidR="0097616F" w:rsidRPr="0006093E">
        <w:rPr>
          <w:rFonts w:eastAsia="Times New Roman" w:cs="Times New Roman"/>
          <w:b/>
          <w:szCs w:val="24"/>
        </w:rPr>
        <w:t xml:space="preserve"> Сочи, Адлерский район, с. </w:t>
      </w:r>
      <w:proofErr w:type="spellStart"/>
      <w:r w:rsidR="0097616F" w:rsidRPr="0006093E">
        <w:rPr>
          <w:rFonts w:eastAsia="Times New Roman" w:cs="Times New Roman"/>
          <w:b/>
          <w:szCs w:val="24"/>
        </w:rPr>
        <w:t>Эсто</w:t>
      </w:r>
      <w:proofErr w:type="spellEnd"/>
      <w:r w:rsidR="0097616F" w:rsidRPr="0006093E">
        <w:rPr>
          <w:rFonts w:eastAsia="Times New Roman" w:cs="Times New Roman"/>
          <w:b/>
          <w:szCs w:val="24"/>
        </w:rPr>
        <w:t xml:space="preserve">-Садок, ул. </w:t>
      </w:r>
      <w:proofErr w:type="gramStart"/>
      <w:r w:rsidR="0097616F" w:rsidRPr="0006093E">
        <w:rPr>
          <w:rFonts w:eastAsia="Times New Roman" w:cs="Times New Roman"/>
          <w:b/>
          <w:szCs w:val="24"/>
        </w:rPr>
        <w:t>Горная</w:t>
      </w:r>
      <w:proofErr w:type="gramEnd"/>
      <w:r w:rsidR="0097616F" w:rsidRPr="0006093E">
        <w:rPr>
          <w:rFonts w:eastAsia="Times New Roman" w:cs="Times New Roman"/>
          <w:b/>
          <w:szCs w:val="24"/>
        </w:rPr>
        <w:t xml:space="preserve">, д. </w:t>
      </w:r>
      <w:r w:rsidR="00977E60" w:rsidRPr="0006093E">
        <w:rPr>
          <w:rFonts w:eastAsia="Times New Roman" w:cs="Times New Roman"/>
          <w:b/>
          <w:szCs w:val="24"/>
        </w:rPr>
        <w:t>3</w:t>
      </w:r>
      <w:r w:rsidRPr="0006093E">
        <w:rPr>
          <w:rFonts w:eastAsia="Times New Roman" w:cs="Times New Roman"/>
          <w:b/>
          <w:szCs w:val="24"/>
        </w:rPr>
        <w:t>.</w:t>
      </w:r>
    </w:p>
    <w:p w:rsidR="00361428" w:rsidRPr="000977F0" w:rsidRDefault="00361428" w:rsidP="00B70585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085"/>
        <w:gridCol w:w="6486"/>
      </w:tblGrid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Предмет закупки</w:t>
            </w:r>
          </w:p>
        </w:tc>
        <w:tc>
          <w:tcPr>
            <w:tcW w:w="6486" w:type="dxa"/>
          </w:tcPr>
          <w:p w:rsidR="00B70585" w:rsidRPr="00DD58CF" w:rsidRDefault="00977E60" w:rsidP="005F509A">
            <w:pPr>
              <w:rPr>
                <w:rFonts w:eastAsia="Times New Roman"/>
                <w:b/>
              </w:rPr>
            </w:pPr>
            <w:r>
              <w:rPr>
                <w:rFonts w:eastAsia="Times New Roman"/>
              </w:rPr>
              <w:t>Р</w:t>
            </w:r>
            <w:r w:rsidRPr="00977E60">
              <w:rPr>
                <w:rFonts w:eastAsia="Times New Roman"/>
              </w:rPr>
              <w:t xml:space="preserve">емонтные работы для устройства помещения горнолыжного проката в Гостинице № 4 на </w:t>
            </w:r>
            <w:proofErr w:type="spellStart"/>
            <w:r w:rsidRPr="00977E60">
              <w:rPr>
                <w:rFonts w:eastAsia="Times New Roman"/>
              </w:rPr>
              <w:t>отм</w:t>
            </w:r>
            <w:proofErr w:type="spellEnd"/>
            <w:r w:rsidRPr="00977E60">
              <w:rPr>
                <w:rFonts w:eastAsia="Times New Roman"/>
              </w:rPr>
              <w:t xml:space="preserve">. +960, расположенной по адресу: 354392 Краснодарский край, г. Сочи, Адлерский район, с. </w:t>
            </w:r>
            <w:proofErr w:type="spellStart"/>
            <w:r w:rsidRPr="00977E60">
              <w:rPr>
                <w:rFonts w:eastAsia="Times New Roman"/>
              </w:rPr>
              <w:t>Эсто</w:t>
            </w:r>
            <w:proofErr w:type="spellEnd"/>
            <w:r w:rsidRPr="00977E60">
              <w:rPr>
                <w:rFonts w:eastAsia="Times New Roman"/>
              </w:rPr>
              <w:t xml:space="preserve">-Садок, ул. </w:t>
            </w:r>
            <w:proofErr w:type="gramStart"/>
            <w:r w:rsidRPr="00977E60">
              <w:rPr>
                <w:rFonts w:eastAsia="Times New Roman"/>
              </w:rPr>
              <w:t>Горная</w:t>
            </w:r>
            <w:proofErr w:type="gramEnd"/>
            <w:r w:rsidRPr="00977E60">
              <w:rPr>
                <w:rFonts w:eastAsia="Times New Roman"/>
              </w:rPr>
              <w:t>, д. 3</w:t>
            </w:r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Наименование объекта</w:t>
            </w:r>
          </w:p>
        </w:tc>
        <w:tc>
          <w:tcPr>
            <w:tcW w:w="6486" w:type="dxa"/>
          </w:tcPr>
          <w:p w:rsidR="001B1499" w:rsidRPr="0006093E" w:rsidRDefault="0097616F" w:rsidP="00977E60">
            <w:pPr>
              <w:rPr>
                <w:rFonts w:eastAsia="Times New Roman"/>
              </w:rPr>
            </w:pPr>
            <w:r w:rsidRPr="0006093E">
              <w:rPr>
                <w:rFonts w:eastAsia="Times New Roman"/>
              </w:rPr>
              <w:t>Гостиниц</w:t>
            </w:r>
            <w:r w:rsidR="00977E60" w:rsidRPr="0006093E">
              <w:rPr>
                <w:rFonts w:eastAsia="Times New Roman"/>
              </w:rPr>
              <w:t>а</w:t>
            </w:r>
            <w:r w:rsidRPr="0006093E">
              <w:rPr>
                <w:rFonts w:eastAsia="Times New Roman"/>
              </w:rPr>
              <w:t xml:space="preserve"> №</w:t>
            </w:r>
            <w:r w:rsidR="00977E60" w:rsidRPr="0006093E">
              <w:rPr>
                <w:rFonts w:eastAsia="Times New Roman"/>
              </w:rPr>
              <w:t>4</w:t>
            </w:r>
            <w:r w:rsidRPr="0006093E">
              <w:rPr>
                <w:rFonts w:eastAsia="Times New Roman"/>
              </w:rPr>
              <w:t xml:space="preserve"> на </w:t>
            </w:r>
            <w:proofErr w:type="spellStart"/>
            <w:r w:rsidRPr="0006093E">
              <w:rPr>
                <w:rFonts w:eastAsia="Times New Roman"/>
              </w:rPr>
              <w:t>отм</w:t>
            </w:r>
            <w:proofErr w:type="spellEnd"/>
            <w:r w:rsidRPr="0006093E">
              <w:rPr>
                <w:rFonts w:eastAsia="Times New Roman"/>
              </w:rPr>
              <w:t>. +960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217382" w:rsidP="00DD58CF">
            <w:pPr>
              <w:rPr>
                <w:rFonts w:eastAsia="Times New Roman"/>
                <w:b/>
              </w:rPr>
            </w:pPr>
            <w:r w:rsidRPr="00DD58CF">
              <w:t>Местонахождение объекта</w:t>
            </w:r>
          </w:p>
        </w:tc>
        <w:tc>
          <w:tcPr>
            <w:tcW w:w="6486" w:type="dxa"/>
          </w:tcPr>
          <w:p w:rsidR="00B70585" w:rsidRPr="00DD58CF" w:rsidRDefault="00402CEE" w:rsidP="00977E60">
            <w:pPr>
              <w:rPr>
                <w:rFonts w:eastAsia="Times New Roman"/>
              </w:rPr>
            </w:pPr>
            <w:proofErr w:type="gramStart"/>
            <w:r>
              <w:rPr>
                <w:rFonts w:eastAsia="Times New Roman"/>
              </w:rPr>
              <w:t xml:space="preserve">354392 </w:t>
            </w:r>
            <w:r w:rsidR="00955AFF" w:rsidRPr="00955AFF">
              <w:rPr>
                <w:rFonts w:eastAsia="Times New Roman"/>
              </w:rPr>
              <w:t>Краснодарский край,</w:t>
            </w:r>
            <w:r w:rsidR="00955AFF">
              <w:rPr>
                <w:rFonts w:eastAsia="Times New Roman"/>
              </w:rPr>
              <w:t xml:space="preserve"> </w:t>
            </w:r>
            <w:r w:rsidR="00955AFF" w:rsidRPr="00955AFF">
              <w:rPr>
                <w:rFonts w:eastAsia="Times New Roman"/>
              </w:rPr>
              <w:t>г</w:t>
            </w:r>
            <w:r w:rsidR="00932BB2">
              <w:rPr>
                <w:rFonts w:eastAsia="Times New Roman"/>
              </w:rPr>
              <w:t>.</w:t>
            </w:r>
            <w:r w:rsidR="00955AFF" w:rsidRPr="00955AFF">
              <w:rPr>
                <w:rFonts w:eastAsia="Times New Roman"/>
              </w:rPr>
              <w:t xml:space="preserve"> Сочи, Адлерский район, с. </w:t>
            </w:r>
            <w:proofErr w:type="spellStart"/>
            <w:r w:rsidR="00955AFF" w:rsidRPr="00955AFF">
              <w:rPr>
                <w:rFonts w:eastAsia="Times New Roman"/>
              </w:rPr>
              <w:t>Эсто</w:t>
            </w:r>
            <w:proofErr w:type="spellEnd"/>
            <w:r w:rsidR="00955AFF" w:rsidRPr="00955AFF">
              <w:rPr>
                <w:rFonts w:eastAsia="Times New Roman"/>
              </w:rPr>
              <w:t xml:space="preserve">-Садок, </w:t>
            </w:r>
            <w:r w:rsidR="0097616F">
              <w:rPr>
                <w:rFonts w:eastAsia="Times New Roman"/>
              </w:rPr>
              <w:t xml:space="preserve">ул. Горная, д. </w:t>
            </w:r>
            <w:r w:rsidR="00977E60">
              <w:rPr>
                <w:rFonts w:eastAsia="Times New Roman"/>
              </w:rPr>
              <w:t>3</w:t>
            </w:r>
            <w:proofErr w:type="gramEnd"/>
          </w:p>
        </w:tc>
      </w:tr>
      <w:tr w:rsidR="001B1499" w:rsidRPr="00DD58CF" w:rsidTr="00E1568A">
        <w:tc>
          <w:tcPr>
            <w:tcW w:w="3085" w:type="dxa"/>
          </w:tcPr>
          <w:p w:rsidR="001B1499" w:rsidRPr="00DD58CF" w:rsidRDefault="001B1499" w:rsidP="00DD58CF">
            <w:r w:rsidRPr="00DD58CF">
              <w:t>Вид строительства</w:t>
            </w:r>
          </w:p>
        </w:tc>
        <w:tc>
          <w:tcPr>
            <w:tcW w:w="6486" w:type="dxa"/>
          </w:tcPr>
          <w:p w:rsidR="001B1499" w:rsidRPr="00DD58CF" w:rsidRDefault="009E113F" w:rsidP="0097616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Ремонт</w:t>
            </w:r>
          </w:p>
        </w:tc>
      </w:tr>
      <w:tr w:rsidR="00B70585" w:rsidRPr="00DD58CF" w:rsidTr="00E1568A">
        <w:tc>
          <w:tcPr>
            <w:tcW w:w="3085" w:type="dxa"/>
          </w:tcPr>
          <w:p w:rsidR="00B70585" w:rsidRPr="00DD58CF" w:rsidRDefault="00B70585" w:rsidP="00DD58CF">
            <w:pPr>
              <w:rPr>
                <w:rFonts w:eastAsia="Times New Roman"/>
                <w:b/>
              </w:rPr>
            </w:pPr>
            <w:r w:rsidRPr="00DD58CF">
              <w:t>Срок (этапы) и условия выполнения работ</w:t>
            </w:r>
          </w:p>
        </w:tc>
        <w:tc>
          <w:tcPr>
            <w:tcW w:w="6486" w:type="dxa"/>
          </w:tcPr>
          <w:p w:rsidR="00A2054E" w:rsidRDefault="0097616F" w:rsidP="00955AFF">
            <w:pPr>
              <w:rPr>
                <w:rFonts w:cs="Times New Roman"/>
              </w:rPr>
            </w:pPr>
            <w:r>
              <w:rPr>
                <w:rFonts w:cs="Times New Roman"/>
              </w:rPr>
              <w:t>Работы выполняются в один этап.</w:t>
            </w:r>
          </w:p>
          <w:p w:rsidR="006C7E99" w:rsidRPr="00DD58CF" w:rsidRDefault="003015E9" w:rsidP="0006093E">
            <w:pPr>
              <w:rPr>
                <w:rFonts w:eastAsia="Times New Roman"/>
              </w:rPr>
            </w:pPr>
            <w:r w:rsidRPr="003015E9">
              <w:rPr>
                <w:rFonts w:cs="Times New Roman"/>
              </w:rPr>
              <w:t>Общий с</w:t>
            </w:r>
            <w:r w:rsidR="00030CDF">
              <w:rPr>
                <w:rFonts w:cs="Times New Roman"/>
              </w:rPr>
              <w:t xml:space="preserve">рок </w:t>
            </w:r>
            <w:r w:rsidR="00A2054E">
              <w:rPr>
                <w:rFonts w:cs="Times New Roman"/>
              </w:rPr>
              <w:t>выполнения работ</w:t>
            </w:r>
            <w:r w:rsidR="009709F6">
              <w:rPr>
                <w:rFonts w:cs="Times New Roman"/>
              </w:rPr>
              <w:t>:</w:t>
            </w:r>
            <w:r w:rsidR="00A2054E">
              <w:rPr>
                <w:rFonts w:cs="Times New Roman"/>
              </w:rPr>
              <w:t xml:space="preserve"> </w:t>
            </w:r>
            <w:proofErr w:type="gramStart"/>
            <w:r w:rsidR="00A2054E">
              <w:rPr>
                <w:rFonts w:cs="Times New Roman"/>
              </w:rPr>
              <w:t xml:space="preserve">с даты </w:t>
            </w:r>
            <w:r w:rsidR="004E7EA5" w:rsidRPr="004E7EA5">
              <w:rPr>
                <w:rFonts w:cs="Times New Roman"/>
              </w:rPr>
              <w:t>поступления</w:t>
            </w:r>
            <w:proofErr w:type="gramEnd"/>
            <w:r w:rsidR="004E7EA5" w:rsidRPr="004E7EA5">
              <w:rPr>
                <w:rFonts w:cs="Times New Roman"/>
              </w:rPr>
              <w:t xml:space="preserve"> авансового платежа на банковский счет </w:t>
            </w:r>
            <w:r w:rsidR="001A1767">
              <w:rPr>
                <w:rFonts w:cs="Times New Roman"/>
              </w:rPr>
              <w:t>Исполнителя</w:t>
            </w:r>
            <w:r w:rsidR="00A2054E">
              <w:rPr>
                <w:rFonts w:cs="Times New Roman"/>
              </w:rPr>
              <w:t xml:space="preserve"> до </w:t>
            </w:r>
            <w:r w:rsidR="0006093E">
              <w:rPr>
                <w:rFonts w:cs="Times New Roman"/>
              </w:rPr>
              <w:t>01</w:t>
            </w:r>
            <w:r w:rsidR="00A2054E" w:rsidRPr="00C96118">
              <w:rPr>
                <w:rFonts w:cs="Times New Roman"/>
              </w:rPr>
              <w:t>.</w:t>
            </w:r>
            <w:r w:rsidR="0006093E">
              <w:rPr>
                <w:rFonts w:cs="Times New Roman"/>
              </w:rPr>
              <w:t>11</w:t>
            </w:r>
            <w:r w:rsidR="00A2054E" w:rsidRPr="00C96118">
              <w:rPr>
                <w:rFonts w:cs="Times New Roman"/>
              </w:rPr>
              <w:t>.19 г</w:t>
            </w:r>
            <w:r w:rsidRPr="00C96118">
              <w:rPr>
                <w:rFonts w:cs="Times New Roman"/>
              </w:rPr>
              <w:t>.</w:t>
            </w:r>
            <w:r w:rsidR="00A2054E" w:rsidRPr="00C96118">
              <w:rPr>
                <w:rFonts w:cs="Times New Roman"/>
              </w:rPr>
              <w:t xml:space="preserve"> </w:t>
            </w:r>
            <w:r w:rsidR="00A2054E">
              <w:rPr>
                <w:rFonts w:cs="Times New Roman"/>
              </w:rPr>
              <w:t>включительно.</w:t>
            </w:r>
          </w:p>
        </w:tc>
      </w:tr>
      <w:tr w:rsidR="00E1568A" w:rsidRPr="00DD58CF" w:rsidTr="00E1568A">
        <w:tc>
          <w:tcPr>
            <w:tcW w:w="3085" w:type="dxa"/>
          </w:tcPr>
          <w:p w:rsidR="00E1568A" w:rsidRPr="00DD58CF" w:rsidRDefault="00E1568A" w:rsidP="00DD58CF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Цель проектирования</w:t>
            </w:r>
            <w:r w:rsidR="00A2054E">
              <w:rPr>
                <w:rFonts w:eastAsia="Times New Roman"/>
              </w:rPr>
              <w:t xml:space="preserve"> и строительства</w:t>
            </w:r>
          </w:p>
        </w:tc>
        <w:tc>
          <w:tcPr>
            <w:tcW w:w="6486" w:type="dxa"/>
          </w:tcPr>
          <w:p w:rsidR="00E1568A" w:rsidRPr="00E1568A" w:rsidRDefault="00977E60" w:rsidP="00C96118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Устройство помещений для проката горнолыжного оборудования</w:t>
            </w:r>
          </w:p>
        </w:tc>
      </w:tr>
      <w:tr w:rsidR="006941B0" w:rsidRPr="00DD58CF" w:rsidTr="006941B0">
        <w:tc>
          <w:tcPr>
            <w:tcW w:w="3085" w:type="dxa"/>
          </w:tcPr>
          <w:p w:rsidR="006941B0" w:rsidRPr="00DD58CF" w:rsidRDefault="006941B0" w:rsidP="00292900">
            <w:pPr>
              <w:rPr>
                <w:rFonts w:eastAsia="Times New Roman"/>
              </w:rPr>
            </w:pPr>
            <w:r w:rsidRPr="00DD58CF">
              <w:rPr>
                <w:rFonts w:eastAsia="Times New Roman"/>
              </w:rPr>
              <w:t xml:space="preserve">Виды и </w:t>
            </w:r>
            <w:r>
              <w:rPr>
                <w:rFonts w:eastAsia="Times New Roman"/>
              </w:rPr>
              <w:t>о</w:t>
            </w:r>
            <w:r w:rsidRPr="00DD58CF">
              <w:rPr>
                <w:rFonts w:eastAsia="Times New Roman"/>
              </w:rPr>
              <w:t>бъемы выполняемых работ</w:t>
            </w:r>
          </w:p>
        </w:tc>
        <w:tc>
          <w:tcPr>
            <w:tcW w:w="6486" w:type="dxa"/>
          </w:tcPr>
          <w:p w:rsidR="00146B09" w:rsidRDefault="009F029C" w:rsidP="00BB718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0301C6">
              <w:rPr>
                <w:rFonts w:eastAsia="Times New Roman"/>
              </w:rPr>
              <w:t xml:space="preserve">Выполнить </w:t>
            </w:r>
            <w:r w:rsidR="00146B09">
              <w:rPr>
                <w:rFonts w:eastAsia="Times New Roman"/>
              </w:rPr>
              <w:t>строительно-монтажные работы в соответствии с настоящим техническим заданием в объемах, указанных в ведомостях объемов работ (см. приложение</w:t>
            </w:r>
            <w:r>
              <w:rPr>
                <w:rFonts w:eastAsia="Times New Roman"/>
              </w:rPr>
              <w:t xml:space="preserve"> №1 к настоящему техническому заданию</w:t>
            </w:r>
            <w:r w:rsidR="00BB7186">
              <w:rPr>
                <w:rFonts w:eastAsia="Times New Roman"/>
              </w:rPr>
              <w:t xml:space="preserve">) </w:t>
            </w:r>
            <w:proofErr w:type="gramStart"/>
            <w:r w:rsidR="00BB7186">
              <w:rPr>
                <w:rFonts w:eastAsia="Times New Roman"/>
              </w:rPr>
              <w:t>согласно плана-схемы</w:t>
            </w:r>
            <w:proofErr w:type="gramEnd"/>
            <w:r w:rsidR="00BB7186">
              <w:rPr>
                <w:rFonts w:eastAsia="Times New Roman"/>
              </w:rPr>
              <w:t xml:space="preserve"> </w:t>
            </w:r>
            <w:r w:rsidR="00BB7186" w:rsidRPr="00BB7186">
              <w:rPr>
                <w:rFonts w:eastAsia="Times New Roman"/>
              </w:rPr>
              <w:t>устройства перегородок в помещении проката</w:t>
            </w:r>
            <w:r w:rsidR="00BB7186">
              <w:rPr>
                <w:rFonts w:eastAsia="Times New Roman"/>
              </w:rPr>
              <w:t xml:space="preserve"> (см. приложение №3)</w:t>
            </w:r>
            <w:r w:rsidR="00CE3063">
              <w:rPr>
                <w:rFonts w:eastAsia="Times New Roman"/>
              </w:rPr>
              <w:t>.</w:t>
            </w:r>
            <w:bookmarkStart w:id="0" w:name="_GoBack"/>
            <w:bookmarkEnd w:id="0"/>
          </w:p>
          <w:p w:rsidR="00146B09" w:rsidRPr="00DD58CF" w:rsidRDefault="00977E60" w:rsidP="00146B09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2</w:t>
            </w:r>
            <w:r w:rsidR="009F029C">
              <w:rPr>
                <w:rFonts w:eastAsia="Times New Roman"/>
              </w:rPr>
              <w:t xml:space="preserve">. </w:t>
            </w:r>
            <w:r w:rsidR="00146B09">
              <w:rPr>
                <w:rFonts w:eastAsia="Times New Roman"/>
              </w:rPr>
              <w:t>В случае выявления необходимости выполнения работ, не вошедших в настоящие ведомости объемов работ, такие работы подлежат предварительному согласованию Заказчиком, а стоимость таких работ определяется на основании смет, рассчитанных в соответствии приложение №2 к настоящему техническому заданию.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814F81">
            <w:r>
              <w:t>Требования к применяемым материалам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– паспорта, сертификаты.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 w:rsidRPr="00672E76">
              <w:rPr>
                <w:rFonts w:eastAsia="Times New Roman"/>
              </w:rPr>
              <w:t>Все применяемые материалы подлежат согласованию Заказчиком до начала производства работ.</w:t>
            </w:r>
          </w:p>
        </w:tc>
      </w:tr>
      <w:tr w:rsidR="00672E76" w:rsidRPr="00DD58CF" w:rsidTr="00017E89">
        <w:tc>
          <w:tcPr>
            <w:tcW w:w="3085" w:type="dxa"/>
          </w:tcPr>
          <w:p w:rsidR="00672E76" w:rsidRPr="00CC7193" w:rsidRDefault="00672E76" w:rsidP="00672E76">
            <w:r>
              <w:t>Требования к производству строительно-монтажных работ</w:t>
            </w:r>
          </w:p>
        </w:tc>
        <w:tc>
          <w:tcPr>
            <w:tcW w:w="6486" w:type="dxa"/>
          </w:tcPr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>обеспечивает наличие необходимого инструмента, спецтехники и оборудования для производства работ самостоятельно.</w:t>
            </w:r>
          </w:p>
          <w:p w:rsidR="00672E76" w:rsidRP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обеспечивает транспортировку необходимых ресурсов самостоятельно. </w:t>
            </w:r>
          </w:p>
          <w:p w:rsidR="00672E76" w:rsidRDefault="00672E76" w:rsidP="00672E76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3. </w:t>
            </w:r>
            <w:r w:rsidR="00675037" w:rsidRPr="00675037">
              <w:rPr>
                <w:rFonts w:eastAsia="Times New Roman"/>
              </w:rPr>
              <w:t xml:space="preserve">Исполнитель </w:t>
            </w:r>
            <w:r w:rsidRPr="00672E76">
              <w:rPr>
                <w:rFonts w:eastAsia="Times New Roman"/>
              </w:rPr>
              <w:t xml:space="preserve">сдает заказчику 3 (три) экземпляра исполнительной документации и один экземпляр на электронном носителе в редактируемом формате DWG, DOC до подписания Актов о приемке выполненных работ </w:t>
            </w:r>
            <w:r w:rsidRPr="00672E76">
              <w:rPr>
                <w:rFonts w:eastAsia="Times New Roman"/>
              </w:rPr>
              <w:lastRenderedPageBreak/>
              <w:t>КС-2.</w:t>
            </w:r>
          </w:p>
        </w:tc>
      </w:tr>
      <w:tr w:rsidR="00B430D1" w:rsidRPr="00DD58CF" w:rsidTr="00017E89">
        <w:tc>
          <w:tcPr>
            <w:tcW w:w="3085" w:type="dxa"/>
          </w:tcPr>
          <w:p w:rsidR="00B430D1" w:rsidRDefault="00B430D1" w:rsidP="00921531">
            <w:r w:rsidRPr="00B430D1">
              <w:rPr>
                <w:rFonts w:eastAsia="Times New Roman"/>
              </w:rPr>
              <w:lastRenderedPageBreak/>
              <w:t xml:space="preserve">Требования </w:t>
            </w:r>
            <w:r>
              <w:rPr>
                <w:rFonts w:eastAsia="Times New Roman"/>
              </w:rPr>
              <w:t>к безопасности выполнения работ</w:t>
            </w:r>
          </w:p>
        </w:tc>
        <w:tc>
          <w:tcPr>
            <w:tcW w:w="6486" w:type="dxa"/>
          </w:tcPr>
          <w:p w:rsidR="00B430D1" w:rsidRP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1. </w:t>
            </w:r>
            <w:r w:rsidRPr="00B430D1">
              <w:rPr>
                <w:rFonts w:eastAsia="Times New Roman"/>
              </w:rPr>
              <w:t>При производстве работ следует соблюдать все необходимые меры противопожарной, радиационной безопасности, охраны труда и санитарии,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Договора.</w:t>
            </w:r>
          </w:p>
          <w:p w:rsidR="00B430D1" w:rsidRDefault="00B430D1" w:rsidP="00B430D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 xml:space="preserve">2. </w:t>
            </w:r>
            <w:r w:rsidRPr="00B430D1">
              <w:rPr>
                <w:rFonts w:eastAsia="Times New Roman"/>
              </w:rPr>
              <w:t xml:space="preserve">При производстве работ </w:t>
            </w:r>
            <w:r>
              <w:rPr>
                <w:rFonts w:eastAsia="Times New Roman"/>
              </w:rPr>
              <w:t>Исполнитель</w:t>
            </w:r>
            <w:r w:rsidRPr="00B430D1">
              <w:rPr>
                <w:rFonts w:eastAsia="Times New Roman"/>
              </w:rPr>
              <w:t xml:space="preserve"> несет ответственность за создание безопасных условий труда, безопасности работников; привлечение квалифицированного, опытного персонала, обученного по вопросам охраны труда; использование технически исправных средств механизации.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Default="00017E89" w:rsidP="00814F81">
            <w:r w:rsidRPr="00CC7193">
              <w:t>Особые условия строительства</w:t>
            </w:r>
          </w:p>
        </w:tc>
        <w:tc>
          <w:tcPr>
            <w:tcW w:w="6486" w:type="dxa"/>
          </w:tcPr>
          <w:p w:rsidR="00017E89" w:rsidRDefault="00A2054E" w:rsidP="00A2054E">
            <w:pPr>
              <w:rPr>
                <w:rFonts w:eastAsia="Times New Roman"/>
              </w:rPr>
            </w:pPr>
            <w:r w:rsidRPr="00A2054E">
              <w:rPr>
                <w:rFonts w:eastAsia="Times New Roman"/>
              </w:rPr>
              <w:t>Сейсмичность принять в соответствии с требованиями СП 14.13330, с картой ОСР-2015-А и с СНКК 22-301-2008.</w:t>
            </w:r>
          </w:p>
        </w:tc>
      </w:tr>
      <w:tr w:rsidR="00017E89" w:rsidRPr="00DD58CF" w:rsidTr="00017E89">
        <w:tc>
          <w:tcPr>
            <w:tcW w:w="3085" w:type="dxa"/>
          </w:tcPr>
          <w:p w:rsidR="00017E89" w:rsidRPr="00DD58CF" w:rsidRDefault="00017E89" w:rsidP="00814F81">
            <w:pPr>
              <w:rPr>
                <w:lang w:val="en-US"/>
              </w:rPr>
            </w:pPr>
            <w:r>
              <w:t>Требования к исполнителю</w:t>
            </w:r>
          </w:p>
          <w:p w:rsidR="00017E89" w:rsidRPr="00DD58CF" w:rsidRDefault="00017E89" w:rsidP="00814F81"/>
        </w:tc>
        <w:tc>
          <w:tcPr>
            <w:tcW w:w="6486" w:type="dxa"/>
          </w:tcPr>
          <w:p w:rsidR="00675037" w:rsidRPr="00DD58CF" w:rsidRDefault="00977E60" w:rsidP="00814F81">
            <w:pPr>
              <w:rPr>
                <w:rFonts w:eastAsia="Times New Roman"/>
              </w:rPr>
            </w:pPr>
            <w:r>
              <w:rPr>
                <w:rFonts w:eastAsia="Times New Roman"/>
              </w:rPr>
              <w:t>Не требуется</w:t>
            </w:r>
          </w:p>
        </w:tc>
      </w:tr>
      <w:tr w:rsidR="008B6600" w:rsidRPr="00DD58CF" w:rsidTr="00E1568A">
        <w:tc>
          <w:tcPr>
            <w:tcW w:w="3085" w:type="dxa"/>
          </w:tcPr>
          <w:p w:rsidR="008B6600" w:rsidRPr="00DD58CF" w:rsidRDefault="008B6600" w:rsidP="00DD58CF">
            <w:pPr>
              <w:rPr>
                <w:rFonts w:eastAsia="Times New Roman"/>
                <w:b/>
              </w:rPr>
            </w:pPr>
            <w:r w:rsidRPr="00DD58CF">
              <w:t>Привлечение субподрядчиков (соисполнителей)</w:t>
            </w:r>
          </w:p>
        </w:tc>
        <w:tc>
          <w:tcPr>
            <w:tcW w:w="6486" w:type="dxa"/>
          </w:tcPr>
          <w:p w:rsidR="008B6600" w:rsidRPr="00DD58CF" w:rsidRDefault="00675037" w:rsidP="009A3950">
            <w:pPr>
              <w:rPr>
                <w:rFonts w:eastAsia="Times New Roman"/>
              </w:rPr>
            </w:pPr>
            <w:r w:rsidRPr="00675037">
              <w:rPr>
                <w:rFonts w:eastAsia="Times New Roman"/>
              </w:rPr>
              <w:t xml:space="preserve">Исполнитель </w:t>
            </w:r>
            <w:r w:rsidR="00FA53E5" w:rsidRPr="00FA53E5">
              <w:rPr>
                <w:rFonts w:eastAsia="Times New Roman"/>
              </w:rPr>
              <w:t xml:space="preserve">вправе выполнять работы своими силами или с привлечением </w:t>
            </w:r>
            <w:proofErr w:type="spellStart"/>
            <w:r w:rsidR="00FA53E5" w:rsidRPr="00FA53E5">
              <w:rPr>
                <w:rFonts w:eastAsia="Times New Roman"/>
              </w:rPr>
              <w:t>субисполнителей</w:t>
            </w:r>
            <w:proofErr w:type="spellEnd"/>
            <w:r w:rsidR="00FA53E5" w:rsidRPr="00FA53E5">
              <w:rPr>
                <w:rFonts w:eastAsia="Times New Roman"/>
              </w:rPr>
              <w:t xml:space="preserve"> (субподрядчиков) на отдельные виды работ</w:t>
            </w:r>
            <w:r w:rsidR="0048050B">
              <w:rPr>
                <w:rFonts w:eastAsia="Times New Roman"/>
              </w:rPr>
              <w:t xml:space="preserve"> по согласованию с Заказчиком</w:t>
            </w:r>
            <w:r w:rsidR="009A3950">
              <w:rPr>
                <w:rFonts w:eastAsia="Times New Roman"/>
              </w:rPr>
              <w:t>.</w:t>
            </w:r>
          </w:p>
        </w:tc>
      </w:tr>
      <w:tr w:rsidR="00D41BE9" w:rsidRPr="00DD58CF" w:rsidTr="00E1568A">
        <w:tc>
          <w:tcPr>
            <w:tcW w:w="3085" w:type="dxa"/>
          </w:tcPr>
          <w:p w:rsidR="00D41BE9" w:rsidRPr="00DD58CF" w:rsidRDefault="00D41BE9" w:rsidP="00DD58CF">
            <w:r w:rsidRPr="00DD58CF">
              <w:t>Дополнительные требования</w:t>
            </w:r>
          </w:p>
        </w:tc>
        <w:tc>
          <w:tcPr>
            <w:tcW w:w="6486" w:type="dxa"/>
          </w:tcPr>
          <w:p w:rsidR="006B38B4" w:rsidRPr="00DD58CF" w:rsidRDefault="00977E60" w:rsidP="00675037">
            <w:r>
              <w:t>Не требуется</w:t>
            </w:r>
          </w:p>
        </w:tc>
      </w:tr>
    </w:tbl>
    <w:p w:rsidR="005168B2" w:rsidRDefault="005168B2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9F029C" w:rsidRPr="00B430D1" w:rsidRDefault="009F029C" w:rsidP="009F029C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</w:t>
      </w:r>
      <w:r>
        <w:rPr>
          <w:b/>
        </w:rPr>
        <w:t>1</w:t>
      </w:r>
      <w:r w:rsidRPr="00B430D1">
        <w:rPr>
          <w:b/>
        </w:rPr>
        <w:t xml:space="preserve"> </w:t>
      </w:r>
      <w:r>
        <w:rPr>
          <w:b/>
        </w:rPr>
        <w:t>–</w:t>
      </w:r>
      <w:r w:rsidRPr="00B430D1">
        <w:rPr>
          <w:b/>
        </w:rPr>
        <w:t xml:space="preserve"> </w:t>
      </w:r>
      <w:r>
        <w:rPr>
          <w:b/>
        </w:rPr>
        <w:t>Ведомость объемов работ</w:t>
      </w:r>
    </w:p>
    <w:p w:rsidR="009F029C" w:rsidRDefault="009F029C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</w:t>
      </w:r>
      <w:r w:rsidR="009F029C">
        <w:rPr>
          <w:b/>
        </w:rPr>
        <w:t>2</w:t>
      </w:r>
      <w:r w:rsidRPr="00B430D1">
        <w:rPr>
          <w:b/>
        </w:rPr>
        <w:t xml:space="preserve"> - Требования для составления сметной документации</w:t>
      </w:r>
    </w:p>
    <w:p w:rsidR="00BB7186" w:rsidRDefault="00BB7186" w:rsidP="00B70585">
      <w:pPr>
        <w:tabs>
          <w:tab w:val="left" w:pos="6237"/>
        </w:tabs>
        <w:spacing w:line="240" w:lineRule="auto"/>
        <w:jc w:val="both"/>
        <w:rPr>
          <w:b/>
        </w:rPr>
      </w:pPr>
    </w:p>
    <w:p w:rsidR="00BB7186" w:rsidRDefault="00BB7186" w:rsidP="00BB7186">
      <w:pPr>
        <w:tabs>
          <w:tab w:val="left" w:pos="6237"/>
        </w:tabs>
        <w:spacing w:line="240" w:lineRule="auto"/>
        <w:jc w:val="both"/>
        <w:rPr>
          <w:b/>
        </w:rPr>
      </w:pPr>
      <w:r w:rsidRPr="00B430D1">
        <w:rPr>
          <w:b/>
        </w:rPr>
        <w:t xml:space="preserve">Приложение </w:t>
      </w:r>
      <w:r>
        <w:rPr>
          <w:b/>
        </w:rPr>
        <w:t>3</w:t>
      </w:r>
      <w:r w:rsidRPr="00B430D1">
        <w:rPr>
          <w:b/>
        </w:rPr>
        <w:t xml:space="preserve"> - </w:t>
      </w:r>
      <w:r>
        <w:rPr>
          <w:b/>
        </w:rPr>
        <w:t>П</w:t>
      </w:r>
      <w:r w:rsidRPr="00BB7186">
        <w:rPr>
          <w:b/>
        </w:rPr>
        <w:t xml:space="preserve">лан-схема устройства перегородок </w:t>
      </w:r>
      <w:r>
        <w:rPr>
          <w:b/>
        </w:rPr>
        <w:t>в</w:t>
      </w:r>
      <w:r w:rsidRPr="00BB7186">
        <w:rPr>
          <w:b/>
        </w:rPr>
        <w:t xml:space="preserve"> помещении проката</w:t>
      </w:r>
    </w:p>
    <w:p w:rsidR="00BB7186" w:rsidRPr="00B430D1" w:rsidRDefault="00BB7186" w:rsidP="00B70585">
      <w:pPr>
        <w:tabs>
          <w:tab w:val="left" w:pos="6237"/>
        </w:tabs>
        <w:spacing w:line="240" w:lineRule="auto"/>
        <w:jc w:val="both"/>
        <w:rPr>
          <w:b/>
        </w:rPr>
      </w:pPr>
    </w:p>
    <w:p w:rsidR="00B430D1" w:rsidRDefault="00B430D1" w:rsidP="00B70585">
      <w:pPr>
        <w:tabs>
          <w:tab w:val="left" w:pos="6237"/>
        </w:tabs>
        <w:spacing w:line="240" w:lineRule="auto"/>
        <w:jc w:val="both"/>
      </w:pP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B430D1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B430D1" w:rsidRPr="000977F0" w:rsidRDefault="00B430D1" w:rsidP="00B430D1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 w:rsidP="00B70585">
      <w:pPr>
        <w:tabs>
          <w:tab w:val="left" w:pos="6237"/>
        </w:tabs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06093E" w:rsidRDefault="0006093E">
      <w:pPr>
        <w:spacing w:after="200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br w:type="page"/>
      </w:r>
    </w:p>
    <w:p w:rsidR="0006093E" w:rsidRPr="0006093E" w:rsidRDefault="0006093E" w:rsidP="0006093E">
      <w:pPr>
        <w:ind w:left="6804"/>
      </w:pPr>
      <w:r w:rsidRPr="0006093E">
        <w:lastRenderedPageBreak/>
        <w:t>Приложение №1</w:t>
      </w:r>
    </w:p>
    <w:p w:rsidR="0006093E" w:rsidRPr="0006093E" w:rsidRDefault="0006093E" w:rsidP="0006093E">
      <w:pPr>
        <w:ind w:left="6804"/>
      </w:pPr>
      <w:r w:rsidRPr="0006093E">
        <w:t>к техническому заданию</w:t>
      </w:r>
    </w:p>
    <w:p w:rsidR="0006093E" w:rsidRDefault="0006093E" w:rsidP="0006093E">
      <w:pPr>
        <w:pStyle w:val="1"/>
      </w:pPr>
      <w:r>
        <w:t>ВЕДОМОСТЬ ОБЪЕМОВ РАБОТ</w:t>
      </w:r>
    </w:p>
    <w:p w:rsidR="0006093E" w:rsidRPr="0006093E" w:rsidRDefault="0006093E" w:rsidP="0006093E">
      <w:pPr>
        <w:jc w:val="center"/>
        <w:rPr>
          <w:rFonts w:cs="Times New Roman"/>
          <w:szCs w:val="24"/>
        </w:rPr>
      </w:pPr>
      <w:r w:rsidRPr="0006093E">
        <w:rPr>
          <w:rFonts w:cs="Times New Roman"/>
          <w:szCs w:val="24"/>
        </w:rPr>
        <w:t xml:space="preserve">на ремонтные работы для устройства помещения горнолыжного проката в Гостинице № 4 на </w:t>
      </w:r>
      <w:proofErr w:type="spellStart"/>
      <w:r w:rsidRPr="0006093E">
        <w:rPr>
          <w:rFonts w:cs="Times New Roman"/>
          <w:szCs w:val="24"/>
        </w:rPr>
        <w:t>отм</w:t>
      </w:r>
      <w:proofErr w:type="spellEnd"/>
      <w:r w:rsidRPr="0006093E">
        <w:rPr>
          <w:rFonts w:cs="Times New Roman"/>
          <w:szCs w:val="24"/>
        </w:rPr>
        <w:t xml:space="preserve">. +960, расположенной по адресу: 354392 Краснодарский край, г. Сочи, Адлерский район, с. </w:t>
      </w:r>
      <w:proofErr w:type="spellStart"/>
      <w:r w:rsidRPr="0006093E">
        <w:rPr>
          <w:rFonts w:cs="Times New Roman"/>
          <w:szCs w:val="24"/>
        </w:rPr>
        <w:t>Эсто</w:t>
      </w:r>
      <w:proofErr w:type="spellEnd"/>
      <w:r w:rsidRPr="0006093E">
        <w:rPr>
          <w:rFonts w:cs="Times New Roman"/>
          <w:szCs w:val="24"/>
        </w:rPr>
        <w:t xml:space="preserve">-Садок, ул. </w:t>
      </w:r>
      <w:proofErr w:type="gramStart"/>
      <w:r w:rsidRPr="0006093E">
        <w:rPr>
          <w:rFonts w:cs="Times New Roman"/>
          <w:szCs w:val="24"/>
        </w:rPr>
        <w:t>Горная</w:t>
      </w:r>
      <w:proofErr w:type="gramEnd"/>
      <w:r w:rsidRPr="0006093E">
        <w:rPr>
          <w:rFonts w:cs="Times New Roman"/>
          <w:szCs w:val="24"/>
        </w:rPr>
        <w:t>, д. 3.</w:t>
      </w:r>
    </w:p>
    <w:p w:rsidR="0006093E" w:rsidRDefault="0006093E" w:rsidP="0006093E">
      <w:pPr>
        <w:pStyle w:val="2"/>
        <w:rPr>
          <w:rFonts w:cs="Times New Roman"/>
          <w:b w:val="0"/>
          <w:szCs w:val="28"/>
        </w:rPr>
      </w:pPr>
      <w:r w:rsidRPr="0006093E">
        <w:t>(общестро</w:t>
      </w:r>
      <w:r>
        <w:t>ительные работы,</w:t>
      </w:r>
      <w:r w:rsidRPr="0006093E">
        <w:t xml:space="preserve"> внутренняя отделка)</w:t>
      </w:r>
    </w:p>
    <w:p w:rsid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Окна – </w:t>
      </w:r>
      <w:r w:rsidRPr="00D36327">
        <w:rPr>
          <w:rFonts w:ascii="Times New Roman" w:hAnsi="Times New Roman"/>
          <w:szCs w:val="24"/>
        </w:rPr>
        <w:t xml:space="preserve">№ 1 </w:t>
      </w:r>
      <w:proofErr w:type="spellStart"/>
      <w:r w:rsidRPr="00D36327">
        <w:rPr>
          <w:rFonts w:ascii="Times New Roman" w:hAnsi="Times New Roman"/>
          <w:szCs w:val="24"/>
        </w:rPr>
        <w:t>Alutech</w:t>
      </w:r>
      <w:proofErr w:type="spellEnd"/>
      <w:r w:rsidRPr="00D36327">
        <w:rPr>
          <w:rFonts w:ascii="Times New Roman" w:hAnsi="Times New Roman"/>
          <w:szCs w:val="24"/>
        </w:rPr>
        <w:t xml:space="preserve"> W 62. / теплая система Цвет</w:t>
      </w:r>
      <w:proofErr w:type="gramStart"/>
      <w:r w:rsidRPr="00D36327">
        <w:rPr>
          <w:rFonts w:ascii="Times New Roman" w:hAnsi="Times New Roman"/>
          <w:szCs w:val="24"/>
        </w:rPr>
        <w:t xml:space="preserve"> :</w:t>
      </w:r>
      <w:proofErr w:type="gramEnd"/>
      <w:r w:rsidRPr="00D36327">
        <w:rPr>
          <w:rFonts w:ascii="Times New Roman" w:hAnsi="Times New Roman"/>
          <w:szCs w:val="24"/>
        </w:rPr>
        <w:t xml:space="preserve"> RAL покраска Ширина х Высота</w:t>
      </w:r>
      <w:proofErr w:type="gramStart"/>
      <w:r w:rsidRPr="00D36327">
        <w:rPr>
          <w:rFonts w:ascii="Times New Roman" w:hAnsi="Times New Roman"/>
          <w:szCs w:val="24"/>
        </w:rPr>
        <w:t xml:space="preserve"> :</w:t>
      </w:r>
      <w:proofErr w:type="gramEnd"/>
      <w:r w:rsidRPr="00D36327">
        <w:rPr>
          <w:rFonts w:ascii="Times New Roman" w:hAnsi="Times New Roman"/>
          <w:szCs w:val="24"/>
        </w:rPr>
        <w:t xml:space="preserve"> 3300 х 2785 (Площадь : 9,19 м</w:t>
      </w:r>
      <w:r>
        <w:rPr>
          <w:rFonts w:ascii="Times New Roman" w:hAnsi="Times New Roman"/>
          <w:szCs w:val="24"/>
        </w:rPr>
        <w:t>²</w:t>
      </w:r>
      <w:r w:rsidRPr="00D36327">
        <w:rPr>
          <w:rFonts w:ascii="Times New Roman" w:hAnsi="Times New Roman"/>
          <w:szCs w:val="24"/>
        </w:rPr>
        <w:t>)</w:t>
      </w:r>
    </w:p>
    <w:p w:rsidR="0006093E" w:rsidRPr="00D36327" w:rsidRDefault="0006093E" w:rsidP="0006093E">
      <w:pPr>
        <w:pStyle w:val="a3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 xml:space="preserve">№ 2 </w:t>
      </w:r>
      <w:proofErr w:type="spellStart"/>
      <w:r w:rsidRPr="00D36327">
        <w:rPr>
          <w:rFonts w:ascii="Times New Roman" w:hAnsi="Times New Roman"/>
          <w:szCs w:val="24"/>
        </w:rPr>
        <w:t>Alutech</w:t>
      </w:r>
      <w:proofErr w:type="spellEnd"/>
      <w:r w:rsidRPr="00D36327">
        <w:rPr>
          <w:rFonts w:ascii="Times New Roman" w:hAnsi="Times New Roman"/>
          <w:szCs w:val="24"/>
        </w:rPr>
        <w:t xml:space="preserve"> W 62. / теплая система Цвет</w:t>
      </w:r>
      <w:proofErr w:type="gramStart"/>
      <w:r w:rsidRPr="00D36327">
        <w:rPr>
          <w:rFonts w:ascii="Times New Roman" w:hAnsi="Times New Roman"/>
          <w:szCs w:val="24"/>
        </w:rPr>
        <w:t xml:space="preserve"> :</w:t>
      </w:r>
      <w:proofErr w:type="gramEnd"/>
      <w:r w:rsidRPr="00D36327">
        <w:rPr>
          <w:rFonts w:ascii="Times New Roman" w:hAnsi="Times New Roman"/>
          <w:szCs w:val="24"/>
        </w:rPr>
        <w:t xml:space="preserve"> RAL покраска Ширина х Высота</w:t>
      </w:r>
      <w:proofErr w:type="gramStart"/>
      <w:r w:rsidRPr="00D36327">
        <w:rPr>
          <w:rFonts w:ascii="Times New Roman" w:hAnsi="Times New Roman"/>
          <w:szCs w:val="24"/>
        </w:rPr>
        <w:t xml:space="preserve"> :</w:t>
      </w:r>
      <w:proofErr w:type="gramEnd"/>
      <w:r w:rsidRPr="00D36327">
        <w:rPr>
          <w:rFonts w:ascii="Times New Roman" w:hAnsi="Times New Roman"/>
          <w:szCs w:val="24"/>
        </w:rPr>
        <w:t xml:space="preserve"> 1030 х 2870 (Площадь : 2,96 м</w:t>
      </w:r>
      <w:r>
        <w:rPr>
          <w:rFonts w:ascii="Times New Roman" w:hAnsi="Times New Roman"/>
          <w:szCs w:val="24"/>
        </w:rPr>
        <w:t>²</w:t>
      </w:r>
      <w:r w:rsidRPr="00D36327">
        <w:rPr>
          <w:rFonts w:ascii="Times New Roman" w:hAnsi="Times New Roman"/>
          <w:szCs w:val="24"/>
        </w:rPr>
        <w:t>)</w:t>
      </w:r>
    </w:p>
    <w:p w:rsid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AD70DD">
        <w:rPr>
          <w:rFonts w:ascii="Times New Roman" w:hAnsi="Times New Roman"/>
          <w:szCs w:val="24"/>
        </w:rPr>
        <w:t xml:space="preserve">двери </w:t>
      </w:r>
      <w:r w:rsidRPr="00D36327">
        <w:rPr>
          <w:rFonts w:ascii="Times New Roman" w:hAnsi="Times New Roman"/>
          <w:szCs w:val="24"/>
        </w:rPr>
        <w:t xml:space="preserve"> ДВУПОЛЬНАЯ ГЛУХАЯ ПРОТИВОПОЖАРНАЯ  (</w:t>
      </w:r>
      <w:proofErr w:type="spellStart"/>
      <w:r w:rsidRPr="00D36327">
        <w:rPr>
          <w:rFonts w:ascii="Times New Roman" w:hAnsi="Times New Roman"/>
          <w:szCs w:val="24"/>
        </w:rPr>
        <w:t>антипаника</w:t>
      </w:r>
      <w:proofErr w:type="spellEnd"/>
      <w:r w:rsidRPr="00D36327">
        <w:rPr>
          <w:rFonts w:ascii="Times New Roman" w:hAnsi="Times New Roman"/>
          <w:szCs w:val="24"/>
        </w:rPr>
        <w:t xml:space="preserve">) ПД-ДГ002а </w:t>
      </w:r>
      <w:r>
        <w:rPr>
          <w:rFonts w:ascii="Times New Roman" w:hAnsi="Times New Roman"/>
          <w:szCs w:val="24"/>
        </w:rPr>
        <w:t>–</w:t>
      </w:r>
    </w:p>
    <w:p w:rsidR="0006093E" w:rsidRDefault="0006093E" w:rsidP="0006093E">
      <w:pPr>
        <w:pStyle w:val="a3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>1 шт.</w:t>
      </w:r>
      <w:r>
        <w:rPr>
          <w:rFonts w:ascii="Times New Roman" w:hAnsi="Times New Roman"/>
          <w:szCs w:val="24"/>
        </w:rPr>
        <w:t xml:space="preserve"> 1.6х</w:t>
      </w:r>
      <w:proofErr w:type="gramStart"/>
      <w:r>
        <w:rPr>
          <w:rFonts w:ascii="Times New Roman" w:hAnsi="Times New Roman"/>
          <w:szCs w:val="24"/>
        </w:rPr>
        <w:t>2</w:t>
      </w:r>
      <w:proofErr w:type="gramEnd"/>
      <w:r>
        <w:rPr>
          <w:rFonts w:ascii="Times New Roman" w:hAnsi="Times New Roman"/>
          <w:szCs w:val="24"/>
        </w:rPr>
        <w:t>.1 – 3.36 м²</w:t>
      </w:r>
    </w:p>
    <w:p w:rsidR="0006093E" w:rsidRPr="00D36327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 xml:space="preserve">Потолок - </w:t>
      </w:r>
      <w:proofErr w:type="spellStart"/>
      <w:r w:rsidRPr="00D36327">
        <w:rPr>
          <w:rFonts w:ascii="Times New Roman" w:hAnsi="Times New Roman"/>
          <w:szCs w:val="24"/>
        </w:rPr>
        <w:t>Armstrong</w:t>
      </w:r>
      <w:proofErr w:type="spellEnd"/>
      <w:r w:rsidRPr="00D36327">
        <w:rPr>
          <w:rFonts w:ascii="Times New Roman" w:hAnsi="Times New Roman"/>
          <w:szCs w:val="24"/>
        </w:rPr>
        <w:t xml:space="preserve"> </w:t>
      </w:r>
      <w:r w:rsidRPr="002C04CA">
        <w:rPr>
          <w:rFonts w:ascii="Times New Roman" w:hAnsi="Times New Roman"/>
          <w:szCs w:val="24"/>
        </w:rPr>
        <w:t>плит</w:t>
      </w:r>
      <w:r>
        <w:rPr>
          <w:rFonts w:ascii="Times New Roman" w:hAnsi="Times New Roman"/>
          <w:szCs w:val="24"/>
        </w:rPr>
        <w:t>ы</w:t>
      </w:r>
      <w:r w:rsidRPr="002C04CA">
        <w:rPr>
          <w:rFonts w:ascii="Times New Roman" w:hAnsi="Times New Roman"/>
          <w:szCs w:val="24"/>
        </w:rPr>
        <w:t xml:space="preserve"> продукта</w:t>
      </w:r>
      <w:r w:rsidRPr="002C04CA">
        <w:t xml:space="preserve"> </w:t>
      </w:r>
      <w:proofErr w:type="spellStart"/>
      <w:r w:rsidRPr="002C04CA">
        <w:rPr>
          <w:rFonts w:ascii="Times New Roman" w:hAnsi="Times New Roman"/>
          <w:szCs w:val="24"/>
        </w:rPr>
        <w:t>Sierra</w:t>
      </w:r>
      <w:proofErr w:type="spellEnd"/>
      <w:r w:rsidRPr="002C04CA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 xml:space="preserve">- </w:t>
      </w:r>
      <w:proofErr w:type="spellStart"/>
      <w:r>
        <w:rPr>
          <w:rFonts w:ascii="Times New Roman" w:hAnsi="Times New Roman"/>
          <w:szCs w:val="24"/>
        </w:rPr>
        <w:t>востановление</w:t>
      </w:r>
      <w:proofErr w:type="spellEnd"/>
      <w:r>
        <w:rPr>
          <w:rFonts w:ascii="Times New Roman" w:hAnsi="Times New Roman"/>
          <w:szCs w:val="24"/>
        </w:rPr>
        <w:t xml:space="preserve"> 30 % - 50 м²</w:t>
      </w:r>
    </w:p>
    <w:p w:rsidR="0006093E" w:rsidRPr="00D45561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>Стены - шпаклевка, покраска</w:t>
      </w:r>
      <w:r w:rsidRPr="00D45561">
        <w:t xml:space="preserve"> </w:t>
      </w:r>
      <w:r w:rsidRPr="00D45561">
        <w:rPr>
          <w:rFonts w:ascii="Times New Roman" w:hAnsi="Times New Roman"/>
          <w:szCs w:val="24"/>
        </w:rPr>
        <w:t xml:space="preserve">краска </w:t>
      </w:r>
      <w:proofErr w:type="spellStart"/>
      <w:r w:rsidRPr="00D45561">
        <w:rPr>
          <w:rFonts w:ascii="Times New Roman" w:hAnsi="Times New Roman"/>
          <w:szCs w:val="24"/>
        </w:rPr>
        <w:t>акрилатная</w:t>
      </w:r>
      <w:proofErr w:type="spellEnd"/>
      <w:r w:rsidRPr="00D45561">
        <w:rPr>
          <w:rFonts w:ascii="Times New Roman" w:hAnsi="Times New Roman"/>
          <w:szCs w:val="24"/>
        </w:rPr>
        <w:t xml:space="preserve"> Сиро Мат (Сиро </w:t>
      </w:r>
      <w:proofErr w:type="spellStart"/>
      <w:r w:rsidRPr="00D45561">
        <w:rPr>
          <w:rFonts w:ascii="Times New Roman" w:hAnsi="Times New Roman"/>
          <w:szCs w:val="24"/>
        </w:rPr>
        <w:t>Химмея</w:t>
      </w:r>
      <w:proofErr w:type="spellEnd"/>
      <w:r w:rsidRPr="00D45561">
        <w:rPr>
          <w:rFonts w:ascii="Times New Roman" w:hAnsi="Times New Roman"/>
          <w:szCs w:val="24"/>
        </w:rPr>
        <w:t xml:space="preserve">) 2,7л </w:t>
      </w:r>
    </w:p>
    <w:p w:rsidR="0006093E" w:rsidRPr="00D36327" w:rsidRDefault="0006093E" w:rsidP="0006093E">
      <w:pPr>
        <w:pStyle w:val="a3"/>
        <w:rPr>
          <w:rFonts w:ascii="Times New Roman" w:hAnsi="Times New Roman"/>
          <w:szCs w:val="24"/>
        </w:rPr>
      </w:pPr>
      <w:r w:rsidRPr="00D45561">
        <w:rPr>
          <w:rFonts w:ascii="Times New Roman" w:hAnsi="Times New Roman"/>
          <w:szCs w:val="24"/>
        </w:rPr>
        <w:t>RAL 7035</w:t>
      </w:r>
      <w:r>
        <w:rPr>
          <w:rFonts w:ascii="Times New Roman" w:hAnsi="Times New Roman"/>
          <w:szCs w:val="24"/>
        </w:rPr>
        <w:t xml:space="preserve"> - 374.8 м²</w:t>
      </w:r>
    </w:p>
    <w:p w:rsid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proofErr w:type="gramStart"/>
      <w:r w:rsidRPr="00D36327">
        <w:rPr>
          <w:rFonts w:ascii="Times New Roman" w:hAnsi="Times New Roman"/>
          <w:szCs w:val="24"/>
        </w:rPr>
        <w:t>Стены - ГКЛ "</w:t>
      </w:r>
      <w:proofErr w:type="spellStart"/>
      <w:r w:rsidRPr="00D36327">
        <w:rPr>
          <w:rFonts w:ascii="Times New Roman" w:hAnsi="Times New Roman"/>
          <w:szCs w:val="24"/>
        </w:rPr>
        <w:t>Knauf</w:t>
      </w:r>
      <w:proofErr w:type="spellEnd"/>
      <w:r w:rsidRPr="00D36327">
        <w:rPr>
          <w:rFonts w:ascii="Times New Roman" w:hAnsi="Times New Roman"/>
          <w:szCs w:val="24"/>
        </w:rPr>
        <w:t>" тип С131.1 (Каркасно-обшивная конструкция поэлементной</w:t>
      </w:r>
      <w:proofErr w:type="gramEnd"/>
    </w:p>
    <w:p w:rsidR="0006093E" w:rsidRPr="00D36327" w:rsidRDefault="0006093E" w:rsidP="0006093E">
      <w:pPr>
        <w:pStyle w:val="a3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>сборки с применением гипсовых негорючих плит КНАУФ-</w:t>
      </w:r>
      <w:proofErr w:type="spellStart"/>
      <w:r w:rsidRPr="00D36327">
        <w:rPr>
          <w:rFonts w:ascii="Times New Roman" w:hAnsi="Times New Roman"/>
          <w:szCs w:val="24"/>
        </w:rPr>
        <w:t>фйерборд</w:t>
      </w:r>
      <w:proofErr w:type="spellEnd"/>
      <w:r w:rsidRPr="00D36327">
        <w:rPr>
          <w:rFonts w:ascii="Times New Roman" w:hAnsi="Times New Roman"/>
          <w:szCs w:val="24"/>
        </w:rPr>
        <w:t>)</w:t>
      </w:r>
      <w:r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  <w:lang w:val="en-US"/>
        </w:rPr>
        <w:t>h</w:t>
      </w:r>
      <w:r w:rsidRPr="002C04CA">
        <w:rPr>
          <w:rFonts w:ascii="Times New Roman" w:hAnsi="Times New Roman"/>
          <w:szCs w:val="24"/>
        </w:rPr>
        <w:t>=4</w:t>
      </w:r>
      <w:r>
        <w:rPr>
          <w:rFonts w:ascii="Times New Roman" w:hAnsi="Times New Roman"/>
          <w:szCs w:val="24"/>
        </w:rPr>
        <w:t xml:space="preserve">.9 </w:t>
      </w:r>
      <w:proofErr w:type="gramStart"/>
      <w:r>
        <w:rPr>
          <w:rFonts w:ascii="Times New Roman" w:hAnsi="Times New Roman"/>
          <w:szCs w:val="24"/>
        </w:rPr>
        <w:t>м(</w:t>
      </w:r>
      <w:proofErr w:type="gramEnd"/>
      <w:r>
        <w:rPr>
          <w:rFonts w:ascii="Times New Roman" w:hAnsi="Times New Roman"/>
          <w:szCs w:val="24"/>
        </w:rPr>
        <w:t xml:space="preserve">до плиты перекрытия), </w:t>
      </w:r>
      <w:r w:rsidRPr="002C04CA">
        <w:rPr>
          <w:rFonts w:ascii="Times New Roman" w:hAnsi="Times New Roman"/>
          <w:szCs w:val="24"/>
        </w:rPr>
        <w:t>h=4.</w:t>
      </w:r>
      <w:r>
        <w:rPr>
          <w:rFonts w:ascii="Times New Roman" w:hAnsi="Times New Roman"/>
          <w:szCs w:val="24"/>
        </w:rPr>
        <w:t>0</w:t>
      </w:r>
      <w:r w:rsidRPr="002C04CA">
        <w:rPr>
          <w:rFonts w:ascii="Times New Roman" w:hAnsi="Times New Roman"/>
          <w:szCs w:val="24"/>
        </w:rPr>
        <w:t xml:space="preserve"> м</w:t>
      </w:r>
      <w:r w:rsidRPr="00D36327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(до потолка)- 50 м²</w:t>
      </w:r>
      <w:r w:rsidRPr="00D36327">
        <w:rPr>
          <w:rFonts w:ascii="Times New Roman" w:hAnsi="Times New Roman"/>
          <w:szCs w:val="24"/>
        </w:rPr>
        <w:t>.</w:t>
      </w:r>
    </w:p>
    <w:p w:rsidR="0006093E" w:rsidRPr="00D45561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 xml:space="preserve">Стены ГКЛ - шпаклевка, покраска </w:t>
      </w:r>
      <w:r>
        <w:rPr>
          <w:rFonts w:ascii="Times New Roman" w:hAnsi="Times New Roman"/>
          <w:szCs w:val="24"/>
        </w:rPr>
        <w:t>к</w:t>
      </w:r>
      <w:r w:rsidRPr="00D45561">
        <w:rPr>
          <w:rFonts w:ascii="Times New Roman" w:hAnsi="Times New Roman"/>
          <w:szCs w:val="24"/>
        </w:rPr>
        <w:t xml:space="preserve">раска </w:t>
      </w:r>
      <w:proofErr w:type="spellStart"/>
      <w:r w:rsidRPr="00D45561">
        <w:rPr>
          <w:rFonts w:ascii="Times New Roman" w:hAnsi="Times New Roman"/>
          <w:szCs w:val="24"/>
        </w:rPr>
        <w:t>акрилатная</w:t>
      </w:r>
      <w:proofErr w:type="spellEnd"/>
      <w:r w:rsidRPr="00D45561">
        <w:rPr>
          <w:rFonts w:ascii="Times New Roman" w:hAnsi="Times New Roman"/>
          <w:szCs w:val="24"/>
        </w:rPr>
        <w:t xml:space="preserve"> Сиро Мат (Сиро </w:t>
      </w:r>
      <w:proofErr w:type="spellStart"/>
      <w:r w:rsidRPr="00D45561">
        <w:rPr>
          <w:rFonts w:ascii="Times New Roman" w:hAnsi="Times New Roman"/>
          <w:szCs w:val="24"/>
        </w:rPr>
        <w:t>Химмея</w:t>
      </w:r>
      <w:proofErr w:type="spellEnd"/>
      <w:r w:rsidRPr="00D45561">
        <w:rPr>
          <w:rFonts w:ascii="Times New Roman" w:hAnsi="Times New Roman"/>
          <w:szCs w:val="24"/>
        </w:rPr>
        <w:t>) 2,7л</w:t>
      </w:r>
      <w:r w:rsidRPr="00D45561">
        <w:t xml:space="preserve"> </w:t>
      </w:r>
    </w:p>
    <w:p w:rsidR="0006093E" w:rsidRDefault="0006093E" w:rsidP="0006093E">
      <w:pPr>
        <w:pStyle w:val="a3"/>
        <w:rPr>
          <w:rFonts w:ascii="Times New Roman" w:hAnsi="Times New Roman"/>
          <w:szCs w:val="24"/>
        </w:rPr>
      </w:pPr>
      <w:r w:rsidRPr="00D45561">
        <w:rPr>
          <w:rFonts w:ascii="Times New Roman" w:hAnsi="Times New Roman"/>
          <w:szCs w:val="24"/>
        </w:rPr>
        <w:t xml:space="preserve">RAL 7035 </w:t>
      </w:r>
      <w:r>
        <w:rPr>
          <w:rFonts w:ascii="Times New Roman" w:hAnsi="Times New Roman"/>
          <w:szCs w:val="24"/>
        </w:rPr>
        <w:t>- 100 м²</w:t>
      </w:r>
    </w:p>
    <w:p w:rsid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D36327">
        <w:rPr>
          <w:rFonts w:ascii="Times New Roman" w:hAnsi="Times New Roman"/>
          <w:szCs w:val="24"/>
        </w:rPr>
        <w:t>Устройство пандусов - армир</w:t>
      </w:r>
      <w:r>
        <w:rPr>
          <w:rFonts w:ascii="Times New Roman" w:hAnsi="Times New Roman"/>
          <w:szCs w:val="24"/>
        </w:rPr>
        <w:t>ованная бетонная стяжка - 2.3 м³</w:t>
      </w:r>
      <w:r w:rsidRPr="00D36327">
        <w:rPr>
          <w:rFonts w:ascii="Times New Roman" w:hAnsi="Times New Roman"/>
          <w:szCs w:val="24"/>
        </w:rPr>
        <w:t xml:space="preserve"> </w:t>
      </w:r>
    </w:p>
    <w:p w:rsidR="0006093E" w:rsidRPr="00D636AA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proofErr w:type="gramStart"/>
      <w:r w:rsidRPr="00D36327">
        <w:rPr>
          <w:rFonts w:ascii="Times New Roman" w:hAnsi="Times New Roman"/>
          <w:szCs w:val="24"/>
        </w:rPr>
        <w:t xml:space="preserve">Пол - </w:t>
      </w:r>
      <w:proofErr w:type="spellStart"/>
      <w:r w:rsidRPr="00D36327">
        <w:rPr>
          <w:rFonts w:ascii="Times New Roman" w:hAnsi="Times New Roman"/>
          <w:szCs w:val="24"/>
        </w:rPr>
        <w:t>керамогранит</w:t>
      </w:r>
      <w:proofErr w:type="spellEnd"/>
      <w:r w:rsidRPr="00D36327">
        <w:rPr>
          <w:rFonts w:ascii="Times New Roman" w:hAnsi="Times New Roman"/>
          <w:szCs w:val="24"/>
        </w:rPr>
        <w:t xml:space="preserve"> на клею с нескользящей поверхностью </w:t>
      </w:r>
      <w:r w:rsidRPr="00D636AA">
        <w:rPr>
          <w:rFonts w:ascii="Times New Roman" w:hAnsi="Times New Roman"/>
          <w:szCs w:val="24"/>
        </w:rPr>
        <w:t xml:space="preserve">DL500500R | </w:t>
      </w:r>
      <w:proofErr w:type="spellStart"/>
      <w:r w:rsidRPr="00D636AA">
        <w:rPr>
          <w:rFonts w:ascii="Times New Roman" w:hAnsi="Times New Roman"/>
          <w:szCs w:val="24"/>
        </w:rPr>
        <w:t>Роверелла</w:t>
      </w:r>
      <w:proofErr w:type="spellEnd"/>
      <w:r w:rsidRPr="00D636AA">
        <w:rPr>
          <w:rFonts w:ascii="Times New Roman" w:hAnsi="Times New Roman"/>
          <w:szCs w:val="24"/>
        </w:rPr>
        <w:t xml:space="preserve"> серый обрезной</w:t>
      </w:r>
      <w:r>
        <w:rPr>
          <w:rFonts w:ascii="Times New Roman" w:hAnsi="Times New Roman"/>
          <w:szCs w:val="24"/>
        </w:rPr>
        <w:t xml:space="preserve"> </w:t>
      </w:r>
      <w:r w:rsidRPr="00D636AA">
        <w:rPr>
          <w:rFonts w:ascii="Times New Roman" w:hAnsi="Times New Roman"/>
          <w:szCs w:val="24"/>
        </w:rPr>
        <w:t>60х119,5</w:t>
      </w:r>
      <w:r>
        <w:rPr>
          <w:rFonts w:ascii="Times New Roman" w:hAnsi="Times New Roman"/>
          <w:szCs w:val="24"/>
        </w:rPr>
        <w:t xml:space="preserve">  </w:t>
      </w:r>
      <w:r w:rsidRPr="00D636AA">
        <w:rPr>
          <w:rFonts w:ascii="Times New Roman" w:hAnsi="Times New Roman"/>
          <w:szCs w:val="24"/>
        </w:rPr>
        <w:t>DL500500R</w:t>
      </w:r>
      <w:r>
        <w:rPr>
          <w:rFonts w:ascii="Times New Roman" w:hAnsi="Times New Roman"/>
          <w:szCs w:val="24"/>
        </w:rPr>
        <w:t xml:space="preserve">  </w:t>
      </w:r>
      <w:r w:rsidRPr="00D636AA">
        <w:rPr>
          <w:rFonts w:ascii="Times New Roman" w:hAnsi="Times New Roman"/>
          <w:szCs w:val="24"/>
        </w:rPr>
        <w:t>дл</w:t>
      </w:r>
      <w:r>
        <w:rPr>
          <w:rFonts w:ascii="Times New Roman" w:hAnsi="Times New Roman"/>
          <w:szCs w:val="24"/>
        </w:rPr>
        <w:t xml:space="preserve">я пола  серый  матовая  камень </w:t>
      </w:r>
      <w:r w:rsidRPr="00D636AA">
        <w:rPr>
          <w:rFonts w:ascii="Times New Roman" w:hAnsi="Times New Roman"/>
          <w:szCs w:val="24"/>
        </w:rPr>
        <w:t>-</w:t>
      </w:r>
      <w:r>
        <w:rPr>
          <w:rFonts w:ascii="Times New Roman" w:hAnsi="Times New Roman"/>
          <w:szCs w:val="24"/>
        </w:rPr>
        <w:t xml:space="preserve"> 165 м²  - 4 коробки.</w:t>
      </w:r>
      <w:proofErr w:type="gramEnd"/>
    </w:p>
    <w:p w:rsid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proofErr w:type="gramStart"/>
      <w:r w:rsidRPr="00D36327">
        <w:rPr>
          <w:rFonts w:ascii="Times New Roman" w:hAnsi="Times New Roman"/>
          <w:szCs w:val="24"/>
        </w:rPr>
        <w:t xml:space="preserve">Устройство плинтус из </w:t>
      </w:r>
      <w:proofErr w:type="spellStart"/>
      <w:r w:rsidRPr="00D36327">
        <w:rPr>
          <w:rFonts w:ascii="Times New Roman" w:hAnsi="Times New Roman"/>
          <w:szCs w:val="24"/>
        </w:rPr>
        <w:t>керамогранита</w:t>
      </w:r>
      <w:proofErr w:type="spellEnd"/>
      <w:r w:rsidRPr="00124271">
        <w:t xml:space="preserve"> </w:t>
      </w:r>
      <w:r w:rsidRPr="00124271">
        <w:rPr>
          <w:rFonts w:ascii="Times New Roman" w:hAnsi="Times New Roman"/>
          <w:szCs w:val="24"/>
        </w:rPr>
        <w:t xml:space="preserve">DL500500R | </w:t>
      </w:r>
      <w:proofErr w:type="spellStart"/>
      <w:r w:rsidRPr="00124271">
        <w:rPr>
          <w:rFonts w:ascii="Times New Roman" w:hAnsi="Times New Roman"/>
          <w:szCs w:val="24"/>
        </w:rPr>
        <w:t>Роверелла</w:t>
      </w:r>
      <w:proofErr w:type="spellEnd"/>
      <w:r w:rsidRPr="00124271">
        <w:rPr>
          <w:rFonts w:ascii="Times New Roman" w:hAnsi="Times New Roman"/>
          <w:szCs w:val="24"/>
        </w:rPr>
        <w:t xml:space="preserve"> серый обрезной 60х119,5  DL500500R  для пола  серый  матовая  камень</w:t>
      </w:r>
      <w:r w:rsidRPr="00D36327">
        <w:rPr>
          <w:rFonts w:ascii="Times New Roman" w:hAnsi="Times New Roman"/>
          <w:szCs w:val="24"/>
        </w:rPr>
        <w:t xml:space="preserve"> h=100 мм - 94 </w:t>
      </w:r>
      <w:proofErr w:type="spellStart"/>
      <w:r w:rsidRPr="00D36327">
        <w:rPr>
          <w:rFonts w:ascii="Times New Roman" w:hAnsi="Times New Roman"/>
          <w:szCs w:val="24"/>
        </w:rPr>
        <w:t>м.п</w:t>
      </w:r>
      <w:proofErr w:type="spellEnd"/>
      <w:r w:rsidRPr="00D36327">
        <w:rPr>
          <w:rFonts w:ascii="Times New Roman" w:hAnsi="Times New Roman"/>
          <w:szCs w:val="24"/>
        </w:rPr>
        <w:t>.</w:t>
      </w:r>
      <w:r>
        <w:rPr>
          <w:rFonts w:ascii="Times New Roman" w:hAnsi="Times New Roman"/>
          <w:szCs w:val="24"/>
        </w:rPr>
        <w:t xml:space="preserve">  – 3 коробки.</w:t>
      </w:r>
      <w:proofErr w:type="gramEnd"/>
    </w:p>
    <w:p w:rsidR="0006093E" w:rsidRPr="0006093E" w:rsidRDefault="0006093E" w:rsidP="0006093E">
      <w:pPr>
        <w:pStyle w:val="a3"/>
        <w:numPr>
          <w:ilvl w:val="0"/>
          <w:numId w:val="9"/>
        </w:numPr>
        <w:spacing w:after="200"/>
        <w:rPr>
          <w:rFonts w:ascii="Times New Roman" w:hAnsi="Times New Roman"/>
          <w:szCs w:val="24"/>
        </w:rPr>
      </w:pPr>
      <w:r w:rsidRPr="0006093E">
        <w:rPr>
          <w:rFonts w:ascii="Times New Roman" w:hAnsi="Times New Roman"/>
          <w:szCs w:val="24"/>
        </w:rPr>
        <w:t xml:space="preserve">Устройство ограждений из нержавеющей стали h=800 мм - 3.52 </w:t>
      </w:r>
      <w:proofErr w:type="spellStart"/>
      <w:r w:rsidRPr="0006093E">
        <w:rPr>
          <w:rFonts w:ascii="Times New Roman" w:hAnsi="Times New Roman"/>
          <w:szCs w:val="24"/>
        </w:rPr>
        <w:t>м.п</w:t>
      </w:r>
      <w:proofErr w:type="spellEnd"/>
      <w:r w:rsidRPr="0006093E">
        <w:rPr>
          <w:rFonts w:ascii="Times New Roman" w:hAnsi="Times New Roman"/>
          <w:szCs w:val="24"/>
        </w:rPr>
        <w:t xml:space="preserve">. </w:t>
      </w:r>
    </w:p>
    <w:p w:rsidR="0006093E" w:rsidRPr="00D36327" w:rsidRDefault="0006093E" w:rsidP="0006093E">
      <w:pPr>
        <w:pStyle w:val="2"/>
        <w:rPr>
          <w:rFonts w:cs="Times New Roman"/>
          <w:color w:val="FF0000"/>
          <w:sz w:val="24"/>
          <w:szCs w:val="24"/>
        </w:rPr>
      </w:pPr>
      <w:r w:rsidRPr="00911E8D">
        <w:t>(</w:t>
      </w:r>
      <w:r>
        <w:t>общестроительные работы,</w:t>
      </w:r>
      <w:r w:rsidRPr="00911E8D">
        <w:t xml:space="preserve"> </w:t>
      </w:r>
      <w:r>
        <w:t>козырек 2 шт.</w:t>
      </w:r>
      <w:r w:rsidRPr="00911E8D">
        <w:t>)</w:t>
      </w:r>
    </w:p>
    <w:p w:rsidR="0006093E" w:rsidRPr="00911E8D" w:rsidRDefault="0006093E" w:rsidP="0006093E">
      <w:pPr>
        <w:pStyle w:val="a3"/>
        <w:rPr>
          <w:rFonts w:ascii="Times New Roman" w:hAnsi="Times New Roman"/>
          <w:szCs w:val="24"/>
          <w:u w:val="single"/>
        </w:rPr>
      </w:pPr>
      <w:r w:rsidRPr="00911E8D">
        <w:rPr>
          <w:rFonts w:ascii="Times New Roman" w:hAnsi="Times New Roman"/>
          <w:szCs w:val="24"/>
          <w:u w:val="single"/>
        </w:rPr>
        <w:t>Расход  материалов  на  один  козырек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Квадратный профиль   ГОСТ30245-2003         100х4        L=</w:t>
      </w:r>
      <w:r>
        <w:rPr>
          <w:rFonts w:ascii="Times New Roman" w:hAnsi="Times New Roman"/>
          <w:szCs w:val="24"/>
        </w:rPr>
        <w:t>3474 – 81.51 кг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 xml:space="preserve">Прямоугольный профиль  </w:t>
      </w:r>
      <w:r>
        <w:rPr>
          <w:rFonts w:ascii="Times New Roman" w:hAnsi="Times New Roman"/>
          <w:szCs w:val="24"/>
        </w:rPr>
        <w:t xml:space="preserve"> </w:t>
      </w:r>
      <w:r w:rsidRPr="00911E8D">
        <w:rPr>
          <w:rFonts w:ascii="Times New Roman" w:hAnsi="Times New Roman"/>
          <w:szCs w:val="24"/>
        </w:rPr>
        <w:t>ГОСТ30245-2003  180х100х4  L=4000</w:t>
      </w:r>
      <w:r>
        <w:rPr>
          <w:rFonts w:ascii="Times New Roman" w:hAnsi="Times New Roman"/>
          <w:szCs w:val="24"/>
        </w:rPr>
        <w:t xml:space="preserve">- </w:t>
      </w:r>
      <w:r w:rsidRPr="00911E8D">
        <w:rPr>
          <w:rFonts w:ascii="Times New Roman" w:hAnsi="Times New Roman"/>
          <w:szCs w:val="24"/>
        </w:rPr>
        <w:t>67,04</w:t>
      </w:r>
      <w:r>
        <w:rPr>
          <w:rFonts w:ascii="Times New Roman" w:hAnsi="Times New Roman"/>
          <w:szCs w:val="24"/>
        </w:rPr>
        <w:t xml:space="preserve"> кг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 xml:space="preserve">Торцевая (декоративная) доска  </w:t>
      </w:r>
      <w:r>
        <w:rPr>
          <w:rFonts w:ascii="Times New Roman" w:hAnsi="Times New Roman"/>
          <w:szCs w:val="24"/>
        </w:rPr>
        <w:t>(</w:t>
      </w:r>
      <w:r w:rsidRPr="00911E8D">
        <w:rPr>
          <w:rFonts w:ascii="Times New Roman" w:hAnsi="Times New Roman"/>
          <w:szCs w:val="24"/>
        </w:rPr>
        <w:t>Индивидуальное изготовление</w:t>
      </w:r>
      <w:r>
        <w:rPr>
          <w:rFonts w:ascii="Times New Roman" w:hAnsi="Times New Roman"/>
          <w:szCs w:val="24"/>
        </w:rPr>
        <w:t>) – 0.021 м³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Обрешетка: деревянный брусок  40х40мм</w:t>
      </w:r>
      <w:r>
        <w:rPr>
          <w:rFonts w:ascii="Times New Roman" w:hAnsi="Times New Roman"/>
          <w:szCs w:val="24"/>
        </w:rPr>
        <w:t xml:space="preserve"> </w:t>
      </w:r>
      <w:r w:rsidRPr="00911E8D">
        <w:rPr>
          <w:rFonts w:ascii="Times New Roman" w:hAnsi="Times New Roman"/>
          <w:szCs w:val="24"/>
        </w:rPr>
        <w:t>L=3960мм</w:t>
      </w:r>
      <w:r>
        <w:rPr>
          <w:rFonts w:ascii="Times New Roman" w:hAnsi="Times New Roman"/>
          <w:szCs w:val="24"/>
        </w:rPr>
        <w:t xml:space="preserve"> – 0.032 м³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proofErr w:type="spellStart"/>
      <w:r w:rsidRPr="00911E8D">
        <w:rPr>
          <w:rFonts w:ascii="Times New Roman" w:hAnsi="Times New Roman"/>
          <w:szCs w:val="24"/>
        </w:rPr>
        <w:t>Контробрешетка</w:t>
      </w:r>
      <w:proofErr w:type="spellEnd"/>
      <w:r w:rsidRPr="00911E8D">
        <w:rPr>
          <w:rFonts w:ascii="Times New Roman" w:hAnsi="Times New Roman"/>
          <w:szCs w:val="24"/>
        </w:rPr>
        <w:t>: деревянная доска 20х220мм</w:t>
      </w:r>
      <w:r>
        <w:rPr>
          <w:rFonts w:ascii="Times New Roman" w:hAnsi="Times New Roman"/>
          <w:szCs w:val="24"/>
        </w:rPr>
        <w:t xml:space="preserve"> </w:t>
      </w:r>
      <w:r w:rsidRPr="00911E8D">
        <w:rPr>
          <w:rFonts w:ascii="Times New Roman" w:hAnsi="Times New Roman"/>
          <w:szCs w:val="24"/>
        </w:rPr>
        <w:t>L=3960мм</w:t>
      </w:r>
      <w:r>
        <w:rPr>
          <w:rFonts w:ascii="Times New Roman" w:hAnsi="Times New Roman"/>
          <w:szCs w:val="24"/>
        </w:rPr>
        <w:t xml:space="preserve"> – 0.105 м³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 xml:space="preserve">Карнизная доска 20х100мм L=3960мм  </w:t>
      </w:r>
      <w:r>
        <w:rPr>
          <w:rFonts w:ascii="Times New Roman" w:hAnsi="Times New Roman"/>
          <w:szCs w:val="24"/>
        </w:rPr>
        <w:t>- 0.008 м³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"</w:t>
      </w:r>
      <w:proofErr w:type="spellStart"/>
      <w:r w:rsidRPr="00911E8D">
        <w:rPr>
          <w:rFonts w:ascii="Times New Roman" w:hAnsi="Times New Roman"/>
          <w:szCs w:val="24"/>
        </w:rPr>
        <w:t>Металлопрофиль</w:t>
      </w:r>
      <w:proofErr w:type="spellEnd"/>
      <w:r w:rsidRPr="00911E8D">
        <w:rPr>
          <w:rFonts w:ascii="Times New Roman" w:hAnsi="Times New Roman"/>
          <w:szCs w:val="24"/>
        </w:rPr>
        <w:t>"</w:t>
      </w:r>
      <w:r>
        <w:rPr>
          <w:rFonts w:ascii="Times New Roman" w:hAnsi="Times New Roman"/>
          <w:szCs w:val="24"/>
        </w:rPr>
        <w:t xml:space="preserve"> </w:t>
      </w:r>
      <w:r w:rsidRPr="00911E8D">
        <w:rPr>
          <w:rFonts w:ascii="Times New Roman" w:hAnsi="Times New Roman"/>
          <w:szCs w:val="24"/>
        </w:rPr>
        <w:t xml:space="preserve">Карнизная планка L=3960мм  </w:t>
      </w:r>
      <w:r>
        <w:rPr>
          <w:rFonts w:ascii="Times New Roman" w:hAnsi="Times New Roman"/>
          <w:szCs w:val="24"/>
        </w:rPr>
        <w:t xml:space="preserve">- 1 </w:t>
      </w:r>
      <w:proofErr w:type="spellStart"/>
      <w:proofErr w:type="gramStart"/>
      <w:r>
        <w:rPr>
          <w:rFonts w:ascii="Times New Roman" w:hAnsi="Times New Roman"/>
          <w:szCs w:val="24"/>
        </w:rPr>
        <w:t>шт</w:t>
      </w:r>
      <w:proofErr w:type="spellEnd"/>
      <w:proofErr w:type="gramEnd"/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"</w:t>
      </w:r>
      <w:proofErr w:type="spellStart"/>
      <w:r w:rsidRPr="00911E8D">
        <w:rPr>
          <w:rFonts w:ascii="Times New Roman" w:hAnsi="Times New Roman"/>
          <w:szCs w:val="24"/>
        </w:rPr>
        <w:t>Металлопрофиль</w:t>
      </w:r>
      <w:proofErr w:type="spellEnd"/>
      <w:r w:rsidRPr="00911E8D">
        <w:rPr>
          <w:rFonts w:ascii="Times New Roman" w:hAnsi="Times New Roman"/>
          <w:szCs w:val="24"/>
        </w:rPr>
        <w:t xml:space="preserve">" Фасонный элемент: </w:t>
      </w:r>
      <w:proofErr w:type="spellStart"/>
      <w:r w:rsidRPr="00911E8D">
        <w:rPr>
          <w:rFonts w:ascii="Times New Roman" w:hAnsi="Times New Roman"/>
          <w:szCs w:val="24"/>
        </w:rPr>
        <w:t>пристенный</w:t>
      </w:r>
      <w:proofErr w:type="spellEnd"/>
      <w:r w:rsidRPr="00911E8D">
        <w:rPr>
          <w:rFonts w:ascii="Times New Roman" w:hAnsi="Times New Roman"/>
          <w:szCs w:val="24"/>
        </w:rPr>
        <w:t xml:space="preserve"> профиль (планка примыкания) L=3960мм</w:t>
      </w:r>
      <w:r>
        <w:rPr>
          <w:rFonts w:ascii="Times New Roman" w:hAnsi="Times New Roman"/>
          <w:szCs w:val="24"/>
        </w:rPr>
        <w:t xml:space="preserve"> – 1 шт.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Черепиц</w:t>
      </w:r>
      <w:proofErr w:type="gramStart"/>
      <w:r w:rsidRPr="00911E8D">
        <w:rPr>
          <w:rFonts w:ascii="Times New Roman" w:hAnsi="Times New Roman"/>
          <w:szCs w:val="24"/>
        </w:rPr>
        <w:t>а</w:t>
      </w:r>
      <w:r>
        <w:rPr>
          <w:rFonts w:ascii="Times New Roman" w:hAnsi="Times New Roman"/>
          <w:szCs w:val="24"/>
        </w:rPr>
        <w:t>(</w:t>
      </w:r>
      <w:proofErr w:type="gramEnd"/>
      <w:r>
        <w:rPr>
          <w:rFonts w:ascii="Times New Roman" w:hAnsi="Times New Roman"/>
          <w:szCs w:val="24"/>
        </w:rPr>
        <w:t>мягкая) – 4.8 м²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lastRenderedPageBreak/>
        <w:t>Анкерный болт М20 L=300мм</w:t>
      </w:r>
      <w:r>
        <w:rPr>
          <w:rFonts w:ascii="Times New Roman" w:hAnsi="Times New Roman"/>
          <w:szCs w:val="24"/>
        </w:rPr>
        <w:t xml:space="preserve"> </w:t>
      </w:r>
      <w:r w:rsidRPr="00911E8D">
        <w:rPr>
          <w:rFonts w:ascii="Times New Roman" w:hAnsi="Times New Roman"/>
          <w:szCs w:val="24"/>
        </w:rPr>
        <w:t>ТУ 2246-016-29270223-2007</w:t>
      </w:r>
      <w:r>
        <w:rPr>
          <w:rFonts w:ascii="Times New Roman" w:hAnsi="Times New Roman"/>
          <w:szCs w:val="24"/>
        </w:rPr>
        <w:t xml:space="preserve"> – 24 шт.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911E8D">
        <w:rPr>
          <w:rFonts w:ascii="Times New Roman" w:hAnsi="Times New Roman"/>
          <w:szCs w:val="24"/>
        </w:rPr>
        <w:t>Универсальный дюбель 5х32</w:t>
      </w:r>
      <w:r>
        <w:rPr>
          <w:rFonts w:ascii="Times New Roman" w:hAnsi="Times New Roman"/>
          <w:szCs w:val="24"/>
        </w:rPr>
        <w:t xml:space="preserve"> – 14 шт.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D636AA">
        <w:rPr>
          <w:rFonts w:ascii="Times New Roman" w:hAnsi="Times New Roman"/>
          <w:szCs w:val="24"/>
        </w:rPr>
        <w:t>Водосточный желоб</w:t>
      </w:r>
      <w:r>
        <w:rPr>
          <w:rFonts w:ascii="Times New Roman" w:hAnsi="Times New Roman"/>
          <w:szCs w:val="24"/>
        </w:rPr>
        <w:t xml:space="preserve"> </w:t>
      </w:r>
      <w:r w:rsidRPr="00D636AA">
        <w:rPr>
          <w:rFonts w:ascii="Times New Roman" w:hAnsi="Times New Roman"/>
          <w:szCs w:val="24"/>
        </w:rPr>
        <w:t>"</w:t>
      </w:r>
      <w:proofErr w:type="spellStart"/>
      <w:r w:rsidRPr="00D636AA">
        <w:rPr>
          <w:rFonts w:ascii="Times New Roman" w:hAnsi="Times New Roman"/>
          <w:szCs w:val="24"/>
        </w:rPr>
        <w:t>Металлопрофиль</w:t>
      </w:r>
      <w:proofErr w:type="spellEnd"/>
      <w:r w:rsidRPr="00D636AA">
        <w:rPr>
          <w:rFonts w:ascii="Times New Roman" w:hAnsi="Times New Roman"/>
          <w:szCs w:val="24"/>
        </w:rPr>
        <w:t>"</w:t>
      </w:r>
      <w:r>
        <w:rPr>
          <w:rFonts w:ascii="Times New Roman" w:hAnsi="Times New Roman"/>
          <w:szCs w:val="24"/>
        </w:rPr>
        <w:t xml:space="preserve"> – 1 шт.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r w:rsidRPr="00D636AA">
        <w:rPr>
          <w:rFonts w:ascii="Times New Roman" w:hAnsi="Times New Roman"/>
          <w:szCs w:val="24"/>
        </w:rPr>
        <w:t>Гидроизоляция</w:t>
      </w:r>
      <w:r>
        <w:rPr>
          <w:rFonts w:ascii="Times New Roman" w:hAnsi="Times New Roman"/>
          <w:szCs w:val="24"/>
        </w:rPr>
        <w:t xml:space="preserve"> </w:t>
      </w:r>
      <w:r w:rsidRPr="00D636AA">
        <w:rPr>
          <w:rFonts w:ascii="Times New Roman" w:hAnsi="Times New Roman"/>
          <w:szCs w:val="24"/>
        </w:rPr>
        <w:t xml:space="preserve"> "ТЕХНОПЛАСТ-ПРАЙМ"</w:t>
      </w:r>
      <w:r>
        <w:rPr>
          <w:rFonts w:ascii="Times New Roman" w:hAnsi="Times New Roman"/>
          <w:szCs w:val="24"/>
        </w:rPr>
        <w:t xml:space="preserve"> – 6.34 м²</w:t>
      </w:r>
    </w:p>
    <w:p w:rsidR="0006093E" w:rsidRDefault="0006093E" w:rsidP="0006093E">
      <w:pPr>
        <w:pStyle w:val="a3"/>
        <w:numPr>
          <w:ilvl w:val="0"/>
          <w:numId w:val="10"/>
        </w:numPr>
        <w:spacing w:after="200"/>
        <w:rPr>
          <w:rFonts w:ascii="Times New Roman" w:hAnsi="Times New Roman"/>
          <w:szCs w:val="24"/>
        </w:rPr>
      </w:pPr>
      <w:proofErr w:type="gramStart"/>
      <w:r w:rsidRPr="00D636AA">
        <w:rPr>
          <w:rFonts w:ascii="Times New Roman" w:hAnsi="Times New Roman"/>
          <w:szCs w:val="24"/>
        </w:rPr>
        <w:t>Силиконовый</w:t>
      </w:r>
      <w:proofErr w:type="gramEnd"/>
      <w:r w:rsidRPr="00D636AA">
        <w:rPr>
          <w:rFonts w:ascii="Times New Roman" w:hAnsi="Times New Roman"/>
          <w:szCs w:val="24"/>
        </w:rPr>
        <w:t xml:space="preserve"> герметик</w:t>
      </w:r>
      <w:r>
        <w:rPr>
          <w:rFonts w:ascii="Times New Roman" w:hAnsi="Times New Roman"/>
          <w:szCs w:val="24"/>
        </w:rPr>
        <w:t xml:space="preserve"> </w:t>
      </w:r>
      <w:proofErr w:type="spellStart"/>
      <w:r w:rsidRPr="00124271">
        <w:rPr>
          <w:rFonts w:ascii="Times New Roman" w:hAnsi="Times New Roman"/>
          <w:szCs w:val="24"/>
        </w:rPr>
        <w:t>Bauset</w:t>
      </w:r>
      <w:proofErr w:type="spellEnd"/>
      <w:r w:rsidRPr="00124271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п</w:t>
      </w:r>
      <w:r w:rsidRPr="00124271">
        <w:rPr>
          <w:rFonts w:ascii="Times New Roman" w:hAnsi="Times New Roman"/>
          <w:szCs w:val="24"/>
        </w:rPr>
        <w:t xml:space="preserve">розрачный </w:t>
      </w:r>
      <w:r>
        <w:rPr>
          <w:rFonts w:ascii="Times New Roman" w:hAnsi="Times New Roman"/>
          <w:szCs w:val="24"/>
        </w:rPr>
        <w:t>– 2 шт.</w:t>
      </w:r>
    </w:p>
    <w:p w:rsidR="0006093E" w:rsidRDefault="0006093E" w:rsidP="0006093E">
      <w:pPr>
        <w:pStyle w:val="2"/>
      </w:pPr>
      <w:r>
        <w:t>(отопление, кондиционирование)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8E514B">
        <w:rPr>
          <w:rFonts w:ascii="Times New Roman" w:hAnsi="Times New Roman"/>
          <w:szCs w:val="24"/>
        </w:rPr>
        <w:t xml:space="preserve">завеса </w:t>
      </w:r>
      <w:proofErr w:type="spellStart"/>
      <w:r w:rsidRPr="008E514B">
        <w:rPr>
          <w:rFonts w:ascii="Times New Roman" w:hAnsi="Times New Roman"/>
          <w:szCs w:val="24"/>
        </w:rPr>
        <w:t>Frico</w:t>
      </w:r>
      <w:proofErr w:type="spellEnd"/>
      <w:r w:rsidRPr="008E514B">
        <w:rPr>
          <w:rFonts w:ascii="Times New Roman" w:hAnsi="Times New Roman"/>
          <w:szCs w:val="24"/>
        </w:rPr>
        <w:t xml:space="preserve"> PA2510E08 «Базовая», с потолочным монтажным комплектом</w:t>
      </w:r>
      <w:proofErr w:type="gramStart"/>
      <w:r w:rsidRPr="008E514B">
        <w:rPr>
          <w:rFonts w:ascii="Times New Roman" w:hAnsi="Times New Roman"/>
          <w:szCs w:val="24"/>
        </w:rPr>
        <w:t>.(</w:t>
      </w:r>
      <w:proofErr w:type="gramEnd"/>
      <w:r w:rsidRPr="008E514B">
        <w:rPr>
          <w:rFonts w:ascii="Times New Roman" w:hAnsi="Times New Roman"/>
          <w:szCs w:val="24"/>
        </w:rPr>
        <w:t>для узкой двери)-1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монтажные работы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8E514B">
        <w:rPr>
          <w:rFonts w:ascii="Times New Roman" w:hAnsi="Times New Roman"/>
          <w:szCs w:val="24"/>
        </w:rPr>
        <w:t xml:space="preserve">завеса </w:t>
      </w:r>
      <w:proofErr w:type="spellStart"/>
      <w:r w:rsidRPr="008E514B">
        <w:rPr>
          <w:rFonts w:ascii="Times New Roman" w:hAnsi="Times New Roman"/>
          <w:szCs w:val="24"/>
        </w:rPr>
        <w:t>Frico</w:t>
      </w:r>
      <w:proofErr w:type="spellEnd"/>
      <w:r w:rsidRPr="008E514B">
        <w:rPr>
          <w:rFonts w:ascii="Times New Roman" w:hAnsi="Times New Roman"/>
          <w:szCs w:val="24"/>
        </w:rPr>
        <w:t xml:space="preserve"> PA2515E08 «Базовая»</w:t>
      </w:r>
      <w:proofErr w:type="gramStart"/>
      <w:r w:rsidRPr="008E514B">
        <w:rPr>
          <w:rFonts w:ascii="Times New Roman" w:hAnsi="Times New Roman"/>
          <w:szCs w:val="24"/>
        </w:rPr>
        <w:t xml:space="preserve"> ,</w:t>
      </w:r>
      <w:proofErr w:type="gramEnd"/>
      <w:r w:rsidRPr="008E514B">
        <w:rPr>
          <w:rFonts w:ascii="Times New Roman" w:hAnsi="Times New Roman"/>
          <w:szCs w:val="24"/>
        </w:rPr>
        <w:t xml:space="preserve"> с потолочным монтажным комплектом.(для широкой двери)-1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монтажные работы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шкаф металлический ШРВ-5НГ фирмы «</w:t>
      </w:r>
      <w:proofErr w:type="spellStart"/>
      <w:r>
        <w:rPr>
          <w:rFonts w:ascii="Times New Roman" w:hAnsi="Times New Roman"/>
          <w:szCs w:val="24"/>
          <w:lang w:val="en-US"/>
        </w:rPr>
        <w:t>Valtec</w:t>
      </w:r>
      <w:proofErr w:type="spellEnd"/>
      <w:r>
        <w:rPr>
          <w:rFonts w:ascii="Times New Roman" w:hAnsi="Times New Roman"/>
          <w:szCs w:val="24"/>
        </w:rPr>
        <w:t>» - 1 шт.</w:t>
      </w:r>
    </w:p>
    <w:p w:rsidR="0006093E" w:rsidRDefault="0006093E" w:rsidP="0006093E">
      <w:pPr>
        <w:pStyle w:val="2"/>
      </w:pPr>
      <w:r>
        <w:t>(электричество)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Монтаж и подключение автоматического выключателя  в ГРЩ</w:t>
      </w:r>
      <w:r>
        <w:rPr>
          <w:rFonts w:ascii="Times New Roman" w:hAnsi="Times New Roman"/>
          <w:szCs w:val="24"/>
        </w:rPr>
        <w:t xml:space="preserve"> – 1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Протяжка кабельной линии от ГРЩ до помещения 1.3.3</w:t>
      </w:r>
      <w:r>
        <w:rPr>
          <w:rFonts w:ascii="Times New Roman" w:hAnsi="Times New Roman"/>
          <w:szCs w:val="24"/>
        </w:rPr>
        <w:t xml:space="preserve"> -</w:t>
      </w:r>
      <w:r w:rsidRPr="00FB6EE1">
        <w:rPr>
          <w:rFonts w:ascii="Times New Roman" w:hAnsi="Times New Roman"/>
          <w:szCs w:val="24"/>
        </w:rPr>
        <w:tab/>
        <w:t>150 м.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 xml:space="preserve">Монтаж  </w:t>
      </w:r>
      <w:proofErr w:type="spellStart"/>
      <w:r w:rsidRPr="00FB6EE1">
        <w:rPr>
          <w:rFonts w:ascii="Times New Roman" w:hAnsi="Times New Roman"/>
          <w:szCs w:val="24"/>
        </w:rPr>
        <w:t>кабельканала</w:t>
      </w:r>
      <w:proofErr w:type="spellEnd"/>
      <w:r w:rsidRPr="00FB6EE1">
        <w:rPr>
          <w:rFonts w:ascii="Times New Roman" w:hAnsi="Times New Roman"/>
          <w:szCs w:val="24"/>
        </w:rPr>
        <w:t xml:space="preserve"> </w:t>
      </w:r>
      <w:r w:rsidRPr="00FB6EE1"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 xml:space="preserve">- </w:t>
      </w:r>
      <w:r w:rsidRPr="00FB6EE1">
        <w:rPr>
          <w:rFonts w:ascii="Times New Roman" w:hAnsi="Times New Roman"/>
          <w:szCs w:val="24"/>
        </w:rPr>
        <w:t>500 м.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Монтаж проводки по потолку и стенам</w:t>
      </w:r>
      <w:r>
        <w:rPr>
          <w:rFonts w:ascii="Times New Roman" w:hAnsi="Times New Roman"/>
          <w:szCs w:val="24"/>
        </w:rPr>
        <w:t xml:space="preserve">  - </w:t>
      </w:r>
      <w:r w:rsidRPr="00FB6EE1">
        <w:rPr>
          <w:rFonts w:ascii="Times New Roman" w:hAnsi="Times New Roman"/>
          <w:szCs w:val="24"/>
        </w:rPr>
        <w:t>500 м.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Сборка и монтаж распределительного щита</w:t>
      </w:r>
      <w:r>
        <w:rPr>
          <w:rFonts w:ascii="Times New Roman" w:hAnsi="Times New Roman"/>
          <w:szCs w:val="24"/>
        </w:rPr>
        <w:t xml:space="preserve"> -</w:t>
      </w:r>
      <w:r w:rsidRPr="00FB6EE1">
        <w:rPr>
          <w:rFonts w:ascii="Times New Roman" w:hAnsi="Times New Roman"/>
          <w:szCs w:val="24"/>
        </w:rPr>
        <w:t>2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Монтаж и подключение розетки 220</w:t>
      </w:r>
      <w:proofErr w:type="gramStart"/>
      <w:r w:rsidRPr="00FB6EE1">
        <w:rPr>
          <w:rFonts w:ascii="Times New Roman" w:hAnsi="Times New Roman"/>
          <w:szCs w:val="24"/>
        </w:rPr>
        <w:t xml:space="preserve"> В</w:t>
      </w:r>
      <w:proofErr w:type="gramEnd"/>
      <w:r>
        <w:rPr>
          <w:rFonts w:ascii="Times New Roman" w:hAnsi="Times New Roman"/>
          <w:szCs w:val="24"/>
        </w:rPr>
        <w:t xml:space="preserve"> -</w:t>
      </w:r>
      <w:r w:rsidRPr="00FB6EE1">
        <w:rPr>
          <w:rFonts w:ascii="Times New Roman" w:hAnsi="Times New Roman"/>
          <w:szCs w:val="24"/>
        </w:rPr>
        <w:t>18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</w:t>
      </w:r>
      <w:r>
        <w:rPr>
          <w:rFonts w:ascii="Times New Roman" w:hAnsi="Times New Roman"/>
          <w:szCs w:val="24"/>
        </w:rPr>
        <w:t>таж и подключение розетки 380</w:t>
      </w:r>
      <w:proofErr w:type="gramStart"/>
      <w:r>
        <w:rPr>
          <w:rFonts w:ascii="Times New Roman" w:hAnsi="Times New Roman"/>
          <w:szCs w:val="24"/>
        </w:rPr>
        <w:t xml:space="preserve"> В</w:t>
      </w:r>
      <w:proofErr w:type="gramEnd"/>
      <w:r>
        <w:rPr>
          <w:rFonts w:ascii="Times New Roman" w:hAnsi="Times New Roman"/>
          <w:szCs w:val="24"/>
        </w:rPr>
        <w:t xml:space="preserve"> -</w:t>
      </w:r>
      <w:r w:rsidRPr="00FB6EE1">
        <w:rPr>
          <w:rFonts w:ascii="Times New Roman" w:hAnsi="Times New Roman"/>
          <w:szCs w:val="24"/>
        </w:rPr>
        <w:t>10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Изготовление </w:t>
      </w:r>
      <w:proofErr w:type="spellStart"/>
      <w:r>
        <w:rPr>
          <w:rFonts w:ascii="Times New Roman" w:hAnsi="Times New Roman"/>
          <w:szCs w:val="24"/>
        </w:rPr>
        <w:t>штробы</w:t>
      </w:r>
      <w:proofErr w:type="spellEnd"/>
      <w:r>
        <w:rPr>
          <w:rFonts w:ascii="Times New Roman" w:hAnsi="Times New Roman"/>
          <w:szCs w:val="24"/>
        </w:rPr>
        <w:t xml:space="preserve"> -</w:t>
      </w:r>
      <w:r w:rsidRPr="00FB6EE1">
        <w:rPr>
          <w:rFonts w:ascii="Times New Roman" w:hAnsi="Times New Roman"/>
          <w:szCs w:val="24"/>
        </w:rPr>
        <w:t>20м.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Монтаж и подключение потолочных светильников</w:t>
      </w:r>
      <w:r>
        <w:rPr>
          <w:rFonts w:ascii="Times New Roman" w:hAnsi="Times New Roman"/>
          <w:szCs w:val="24"/>
        </w:rPr>
        <w:t xml:space="preserve"> системы</w:t>
      </w:r>
      <w:r w:rsidRPr="0006093E">
        <w:rPr>
          <w:rFonts w:ascii="Times New Roman" w:hAnsi="Times New Roman"/>
          <w:szCs w:val="24"/>
        </w:rPr>
        <w:t xml:space="preserve"> </w:t>
      </w:r>
      <w:proofErr w:type="spellStart"/>
      <w:r w:rsidRPr="00FB6EE1">
        <w:rPr>
          <w:rFonts w:ascii="Times New Roman" w:hAnsi="Times New Roman"/>
          <w:szCs w:val="24"/>
        </w:rPr>
        <w:t>Armstrong</w:t>
      </w:r>
      <w:proofErr w:type="spellEnd"/>
      <w:r>
        <w:rPr>
          <w:rFonts w:ascii="Times New Roman" w:hAnsi="Times New Roman"/>
          <w:szCs w:val="24"/>
        </w:rPr>
        <w:t xml:space="preserve"> - </w:t>
      </w:r>
      <w:r w:rsidRPr="00FB6EE1">
        <w:rPr>
          <w:rFonts w:ascii="Times New Roman" w:hAnsi="Times New Roman"/>
          <w:szCs w:val="24"/>
        </w:rPr>
        <w:t>10 шт.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B6EE1">
        <w:rPr>
          <w:rFonts w:ascii="Times New Roman" w:hAnsi="Times New Roman"/>
          <w:szCs w:val="24"/>
        </w:rPr>
        <w:t>Монта</w:t>
      </w:r>
      <w:r>
        <w:rPr>
          <w:rFonts w:ascii="Times New Roman" w:hAnsi="Times New Roman"/>
          <w:szCs w:val="24"/>
        </w:rPr>
        <w:t xml:space="preserve">ж и подключение тепловой завесы - </w:t>
      </w:r>
      <w:r w:rsidRPr="00FB6EE1">
        <w:rPr>
          <w:rFonts w:ascii="Times New Roman" w:hAnsi="Times New Roman"/>
          <w:szCs w:val="24"/>
        </w:rPr>
        <w:t>2 шт.</w:t>
      </w:r>
    </w:p>
    <w:p w:rsidR="0006093E" w:rsidRPr="00FC4D17" w:rsidRDefault="0006093E" w:rsidP="0006093E">
      <w:pPr>
        <w:pStyle w:val="2"/>
      </w:pPr>
      <w:r w:rsidRPr="00FC4D17">
        <w:t>(</w:t>
      </w:r>
      <w:r>
        <w:t>слаботочные системы</w:t>
      </w:r>
      <w:r w:rsidRPr="00FC4D17">
        <w:t>)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C4D17">
        <w:rPr>
          <w:rFonts w:ascii="Times New Roman" w:hAnsi="Times New Roman"/>
          <w:szCs w:val="24"/>
        </w:rPr>
        <w:t>Кабель UTP cat.5e – 4 коробки по 305м;</w:t>
      </w:r>
    </w:p>
    <w:p w:rsidR="0006093E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C4D17">
        <w:rPr>
          <w:rFonts w:ascii="Times New Roman" w:hAnsi="Times New Roman"/>
          <w:szCs w:val="24"/>
        </w:rPr>
        <w:t xml:space="preserve">Розетка компьютерная настенная – 20 </w:t>
      </w:r>
      <w:proofErr w:type="spellStart"/>
      <w:proofErr w:type="gramStart"/>
      <w:r w:rsidRPr="00FC4D17">
        <w:rPr>
          <w:rFonts w:ascii="Times New Roman" w:hAnsi="Times New Roman"/>
          <w:szCs w:val="24"/>
        </w:rPr>
        <w:t>шт</w:t>
      </w:r>
      <w:proofErr w:type="spellEnd"/>
      <w:proofErr w:type="gramEnd"/>
      <w:r w:rsidRPr="00FC4D17">
        <w:rPr>
          <w:rFonts w:ascii="Times New Roman" w:hAnsi="Times New Roman"/>
          <w:szCs w:val="24"/>
        </w:rPr>
        <w:t>;</w:t>
      </w:r>
    </w:p>
    <w:p w:rsidR="0006093E" w:rsidRPr="00FC4D17" w:rsidRDefault="0006093E" w:rsidP="0006093E">
      <w:pPr>
        <w:pStyle w:val="a3"/>
        <w:numPr>
          <w:ilvl w:val="0"/>
          <w:numId w:val="11"/>
        </w:numPr>
        <w:spacing w:after="200"/>
        <w:rPr>
          <w:rFonts w:ascii="Times New Roman" w:hAnsi="Times New Roman"/>
          <w:szCs w:val="24"/>
        </w:rPr>
      </w:pPr>
      <w:r w:rsidRPr="00FC4D17">
        <w:rPr>
          <w:rFonts w:ascii="Times New Roman" w:hAnsi="Times New Roman"/>
          <w:szCs w:val="24"/>
        </w:rPr>
        <w:t>Кабель-канал 25*15 – 100 м.</w:t>
      </w:r>
    </w:p>
    <w:p w:rsidR="0006093E" w:rsidRDefault="0006093E">
      <w:pPr>
        <w:spacing w:after="200"/>
        <w:rPr>
          <w:rFonts w:eastAsia="Times New Roman" w:cs="Times New Roman"/>
          <w:i/>
          <w:sz w:val="20"/>
          <w:szCs w:val="20"/>
        </w:rPr>
      </w:pPr>
    </w:p>
    <w:p w:rsidR="0006093E" w:rsidRDefault="0006093E" w:rsidP="0006093E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Разработал:</w:t>
      </w:r>
    </w:p>
    <w:p w:rsidR="0006093E" w:rsidRDefault="0006093E" w:rsidP="0006093E">
      <w:pPr>
        <w:spacing w:line="240" w:lineRule="auto"/>
        <w:jc w:val="both"/>
        <w:rPr>
          <w:rFonts w:eastAsia="Times New Roman" w:cs="Times New Roman"/>
          <w:b/>
          <w:szCs w:val="24"/>
        </w:rPr>
      </w:pPr>
    </w:p>
    <w:p w:rsidR="0006093E" w:rsidRPr="000977F0" w:rsidRDefault="0006093E" w:rsidP="0006093E">
      <w:pPr>
        <w:spacing w:line="240" w:lineRule="auto"/>
        <w:jc w:val="both"/>
        <w:rPr>
          <w:rFonts w:eastAsia="Times New Roman" w:cs="Times New Roman"/>
          <w:b/>
          <w:szCs w:val="24"/>
        </w:rPr>
      </w:pPr>
      <w:r>
        <w:rPr>
          <w:rFonts w:eastAsia="Times New Roman" w:cs="Times New Roman"/>
          <w:b/>
          <w:szCs w:val="24"/>
        </w:rPr>
        <w:t>Согласовано:</w:t>
      </w:r>
    </w:p>
    <w:p w:rsidR="00B430D1" w:rsidRDefault="00B430D1">
      <w:pPr>
        <w:spacing w:after="200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br w:type="page"/>
      </w:r>
    </w:p>
    <w:p w:rsidR="00B430D1" w:rsidRDefault="00B430D1" w:rsidP="00B430D1">
      <w:pPr>
        <w:ind w:left="6237"/>
      </w:pPr>
      <w:r>
        <w:lastRenderedPageBreak/>
        <w:t xml:space="preserve">Приложение </w:t>
      </w:r>
      <w:r w:rsidR="009F029C">
        <w:t>2</w:t>
      </w:r>
      <w:r>
        <w:t xml:space="preserve"> </w:t>
      </w:r>
    </w:p>
    <w:p w:rsidR="00B430D1" w:rsidRDefault="00B430D1" w:rsidP="00B430D1">
      <w:pPr>
        <w:ind w:left="6237"/>
      </w:pPr>
      <w:r>
        <w:t>к техническому заданию</w:t>
      </w:r>
    </w:p>
    <w:p w:rsidR="00B430D1" w:rsidRPr="006A7DA3" w:rsidRDefault="00B430D1" w:rsidP="00BB7186">
      <w:pPr>
        <w:pStyle w:val="1"/>
        <w:rPr>
          <w:rFonts w:eastAsia="Calibri"/>
        </w:rPr>
      </w:pPr>
      <w:r w:rsidRPr="006A7DA3">
        <w:rPr>
          <w:rFonts w:eastAsia="Calibri"/>
        </w:rPr>
        <w:t xml:space="preserve">Требования для составления сметной документации  </w:t>
      </w:r>
    </w:p>
    <w:p w:rsidR="00B430D1" w:rsidRPr="006A7DA3" w:rsidRDefault="00B430D1" w:rsidP="00B430D1">
      <w:pPr>
        <w:spacing w:after="120"/>
        <w:jc w:val="center"/>
        <w:rPr>
          <w:rFonts w:eastAsia="Calibri" w:cs="Times New Roman"/>
          <w:b/>
          <w:color w:val="000000"/>
        </w:rPr>
      </w:pPr>
      <w:r w:rsidRPr="006A7DA3">
        <w:rPr>
          <w:rFonts w:eastAsia="Calibri" w:cs="Times New Roman"/>
          <w:b/>
          <w:color w:val="000000"/>
        </w:rPr>
        <w:t>1.Требования для составления сметной документации базисно-индексным методом *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B430D1" w:rsidRPr="006A7DA3" w:rsidTr="00E37905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№</w:t>
            </w:r>
          </w:p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/п</w:t>
            </w:r>
          </w:p>
        </w:tc>
        <w:tc>
          <w:tcPr>
            <w:tcW w:w="3168" w:type="dxa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Наименование</w:t>
            </w:r>
          </w:p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Показатель</w:t>
            </w:r>
          </w:p>
        </w:tc>
      </w:tr>
      <w:tr w:rsidR="00B430D1" w:rsidRPr="006A7DA3" w:rsidTr="00E37905">
        <w:trPr>
          <w:trHeight w:val="262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>3</w:t>
            </w:r>
          </w:p>
        </w:tc>
      </w:tr>
      <w:tr w:rsidR="00B430D1" w:rsidRPr="006A7DA3" w:rsidTr="00E37905">
        <w:trPr>
          <w:trHeight w:val="749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применением, в сметно-нормативной базе ТЕР-2001/ФЕР-2001 (ТЕР Краснодарского края), в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действующей на момент составления сметной документации с применением сметных нормативов, включенных в федеральный реестр, в базисном уровне цен по состоянию на 01.01.2000 года и в текущем уровне цен в рублевом эквиваленте.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color w:val="000000"/>
                <w:sz w:val="20"/>
                <w:szCs w:val="20"/>
              </w:rPr>
              <w:t xml:space="preserve">При этом перерасчет стоимости из базового уровня цен в текущий осуществлять с использованием поквартальных прогнозных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индексов изменения сметной стоимости строительно-монтажных и пусконаладочных работ по объектам строительства по Южному федеральному округу, для Краснодарского края, индексов изменения сметной стоимости оборудования для объектов непроизводственного назначения, разработанных Министерством строительства и жилищно-коммунального хозяйства Российской Федерации. </w:t>
            </w:r>
            <w:proofErr w:type="gramEnd"/>
          </w:p>
        </w:tc>
      </w:tr>
      <w:tr w:rsidR="00B430D1" w:rsidRPr="006A7DA3" w:rsidTr="00E37905">
        <w:trPr>
          <w:trHeight w:val="749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2.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</w:t>
            </w:r>
            <w:r w:rsidRPr="006A7DA3" w:rsidDel="00530A45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772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3.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применяемых материалов, изделий и конструкций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применяемых материалов, изделий и конструкций,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определяется по СССЦ/ФГИС. В случаи отсутствия в СССЦ/ФГИС – на основании коммерческ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) поставщик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.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При этом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, при условии получения информации из открытых источников сети-Интернет. 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строительно-монтажных работ по Южному федеральному округу, для Краснодарского края, рекомендуемых Министерством строительства и жилищно-коммунального хозяйства Российской Федерации. 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должно быть  расшифровано ценообразование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 xml:space="preserve"> </w:t>
            </w:r>
          </w:p>
        </w:tc>
      </w:tr>
      <w:tr w:rsidR="00B430D1" w:rsidRPr="006A7DA3" w:rsidTr="00E37905">
        <w:trPr>
          <w:trHeight w:val="772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соответствии с действующими нормативными документами.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157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5.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 оборудования, мебели и инвентаря определяется по Территориальному сборнику сметных цен на материалы, изделия и конструкции для Краснодарского края (ТССЦ) /федеральному сборнику сметных цен (ФССЦ).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Стоимость оборудования, мебели и инвентаря, отсутствующих в ТССЦ/ФССЦ или по условиям строительства отличных </w:t>
            </w:r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от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учтенных в базовых нормах, определять по СССЦ/ФГИС. В случаи отсутствия в СССЦ/ФГИС – на основании коммерческ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ого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предложения (прайс-лист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) 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>поставщика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  <w:r w:rsidRPr="006A7DA3">
              <w:rPr>
                <w:rFonts w:eastAsia="Calibri" w:cs="Times New Roman"/>
                <w:bCs/>
                <w:color w:val="000000"/>
                <w:sz w:val="20"/>
                <w:szCs w:val="20"/>
              </w:rPr>
              <w:t>(приложен</w:t>
            </w:r>
            <w:r>
              <w:rPr>
                <w:rFonts w:eastAsia="Calibri" w:cs="Times New Roman"/>
                <w:bCs/>
                <w:color w:val="000000"/>
                <w:sz w:val="20"/>
                <w:szCs w:val="20"/>
              </w:rPr>
              <w:t xml:space="preserve">ие № 3 к Техническому заданию), где </w:t>
            </w: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Пересчет стоимости оборудования,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назначения, рекомендуемых Министерством строительства и жилищно-коммунального хозяйства Российской Федерации.  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должно быть  расшифровано  ценообразование.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263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263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7.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сметной прибыли.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510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8.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затрат на временные здания и вооружения.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350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9.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по гл. 1, 9, 10, 12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Затраты предусматриваются в соответствии с действующими нормативными документами.</w:t>
            </w:r>
            <w:r>
              <w:rPr>
                <w:rFonts w:eastAsia="Calibri" w:cs="Times New Roman"/>
                <w:color w:val="000000"/>
                <w:sz w:val="20"/>
                <w:szCs w:val="20"/>
              </w:rPr>
              <w:t xml:space="preserve"> 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381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10.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  <w:tc>
          <w:tcPr>
            <w:tcW w:w="6233" w:type="dxa"/>
          </w:tcPr>
          <w:p w:rsidR="00B430D1" w:rsidRPr="006A7DA3" w:rsidRDefault="00B430D1" w:rsidP="00E37905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  <w:p w:rsidR="00B430D1" w:rsidRPr="006A7DA3" w:rsidRDefault="00B430D1" w:rsidP="00E37905">
            <w:pPr>
              <w:ind w:left="2" w:right="80"/>
              <w:jc w:val="both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985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Расчеты выполняются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Предусмотреть возврат стоимости материалов от разборки.</w:t>
            </w:r>
          </w:p>
          <w:p w:rsidR="00B430D1" w:rsidRPr="006A7DA3" w:rsidRDefault="00B430D1" w:rsidP="00E37905">
            <w:pPr>
              <w:ind w:left="2" w:right="80"/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  <w:tr w:rsidR="00B430D1" w:rsidRPr="006A7DA3" w:rsidTr="00E37905">
        <w:trPr>
          <w:trHeight w:val="530"/>
          <w:jc w:val="center"/>
        </w:trPr>
        <w:tc>
          <w:tcPr>
            <w:tcW w:w="598" w:type="dxa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12.</w:t>
            </w:r>
          </w:p>
        </w:tc>
        <w:tc>
          <w:tcPr>
            <w:tcW w:w="3168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  <w:r w:rsidRPr="006A7DA3">
              <w:rPr>
                <w:rFonts w:eastAsia="Calibri" w:cs="Times New Roman"/>
                <w:color w:val="000000"/>
                <w:sz w:val="20"/>
                <w:szCs w:val="20"/>
              </w:rPr>
              <w:t>В пояснительной записке к сметной документации указывается все применяемые индексы и коэффициенты.</w:t>
            </w:r>
          </w:p>
          <w:p w:rsidR="00B430D1" w:rsidRPr="006A7DA3" w:rsidRDefault="00B430D1" w:rsidP="00E37905">
            <w:pPr>
              <w:rPr>
                <w:rFonts w:eastAsia="Calibri" w:cs="Times New Roman"/>
                <w:color w:val="000000"/>
                <w:sz w:val="20"/>
                <w:szCs w:val="20"/>
              </w:rPr>
            </w:pPr>
          </w:p>
        </w:tc>
      </w:tr>
    </w:tbl>
    <w:p w:rsidR="00B430D1" w:rsidRDefault="00B430D1" w:rsidP="00B430D1">
      <w:pPr>
        <w:tabs>
          <w:tab w:val="left" w:pos="7300"/>
        </w:tabs>
        <w:jc w:val="center"/>
        <w:rPr>
          <w:rFonts w:eastAsia="Calibri" w:cs="Times New Roman"/>
          <w:b/>
        </w:rPr>
      </w:pPr>
    </w:p>
    <w:p w:rsidR="00B430D1" w:rsidRPr="006A7DA3" w:rsidRDefault="00B430D1" w:rsidP="00B430D1">
      <w:pPr>
        <w:tabs>
          <w:tab w:val="left" w:pos="7300"/>
        </w:tabs>
        <w:jc w:val="center"/>
        <w:rPr>
          <w:rFonts w:eastAsia="Calibri" w:cs="Times New Roman"/>
          <w:b/>
        </w:rPr>
      </w:pPr>
      <w:r w:rsidRPr="006A7DA3">
        <w:rPr>
          <w:rFonts w:eastAsia="Calibri" w:cs="Times New Roman"/>
          <w:b/>
        </w:rPr>
        <w:t xml:space="preserve">2.Требования для составления сметной документации ресурсным методом* </w:t>
      </w: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B430D1" w:rsidRPr="006A7DA3" w:rsidTr="00E37905">
        <w:trPr>
          <w:trHeight w:val="495"/>
          <w:tblHeader/>
          <w:jc w:val="center"/>
        </w:trPr>
        <w:tc>
          <w:tcPr>
            <w:tcW w:w="598" w:type="dxa"/>
            <w:shd w:val="clear" w:color="auto" w:fill="auto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№</w:t>
            </w:r>
          </w:p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b/>
                <w:sz w:val="20"/>
                <w:szCs w:val="20"/>
              </w:rPr>
              <w:t>п</w:t>
            </w:r>
            <w:proofErr w:type="gramEnd"/>
            <w:r w:rsidRPr="006A7DA3">
              <w:rPr>
                <w:rFonts w:eastAsia="Calibri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3168" w:type="dxa"/>
            <w:shd w:val="clear" w:color="auto" w:fill="auto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Наименование</w:t>
            </w:r>
          </w:p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показателя</w:t>
            </w:r>
          </w:p>
        </w:tc>
        <w:tc>
          <w:tcPr>
            <w:tcW w:w="6233" w:type="dxa"/>
            <w:shd w:val="clear" w:color="auto" w:fill="auto"/>
            <w:vAlign w:val="center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Показатель</w:t>
            </w:r>
          </w:p>
        </w:tc>
      </w:tr>
      <w:tr w:rsidR="00B430D1" w:rsidRPr="006A7DA3" w:rsidTr="00E37905">
        <w:trPr>
          <w:trHeight w:val="262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b/>
                <w:sz w:val="20"/>
                <w:szCs w:val="20"/>
              </w:rPr>
            </w:pPr>
            <w:r w:rsidRPr="006A7DA3">
              <w:rPr>
                <w:rFonts w:eastAsia="Calibri" w:cs="Times New Roman"/>
                <w:b/>
                <w:sz w:val="20"/>
                <w:szCs w:val="20"/>
              </w:rPr>
              <w:t>3</w:t>
            </w:r>
          </w:p>
        </w:tc>
      </w:tr>
      <w:tr w:rsidR="00B430D1" w:rsidRPr="006A7DA3" w:rsidTr="00E37905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Нормативная база и уровень цен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Федерации, с применением сметных нормативов, в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редакции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действующей на момент составления сметной документации, включенными в федеральный реестр, в текущем уровне цен по состоянию на период составления сметной документации в рублевом эквиваленте. </w:t>
            </w:r>
          </w:p>
          <w:p w:rsidR="00B430D1" w:rsidRPr="006A7DA3" w:rsidRDefault="00B430D1" w:rsidP="00E37905">
            <w:pPr>
              <w:contextualSpacing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ресурсов учитывается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согласно сборников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сборников сметных цен строительных ресурсов, определенных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Министерстовом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 строительства и ЖКХ РФ, размещенных в федеральной государственной информационной системе ценообразования (далее – ФГИС)  или рекомендованных к применению в ином, установленном Министерством порядке. </w:t>
            </w:r>
          </w:p>
          <w:p w:rsidR="00B430D1" w:rsidRPr="006A7DA3" w:rsidRDefault="00B430D1" w:rsidP="00E37905">
            <w:pPr>
              <w:ind w:firstLine="708"/>
              <w:jc w:val="both"/>
              <w:rPr>
                <w:rFonts w:eastAsia="Calibri" w:cs="Times New Roman"/>
                <w:color w:val="FF0000"/>
                <w:sz w:val="20"/>
                <w:szCs w:val="20"/>
              </w:rPr>
            </w:pP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При отсутствии прямых расценок, а так же для определения сметной стоимости эксплуатационных работ,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сборников, фирменных сметных нормативов, территориальных сметных нормативов и других сборников, разработанных и утвержденных на основании нормативных правовых документов.</w:t>
            </w:r>
            <w:proofErr w:type="gramEnd"/>
          </w:p>
        </w:tc>
      </w:tr>
      <w:tr w:rsidR="00B430D1" w:rsidRPr="006A7DA3" w:rsidTr="00E37905">
        <w:trPr>
          <w:trHeight w:val="749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2.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Стоимость 1 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маш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B430D1" w:rsidRPr="006A7DA3" w:rsidTr="00E3790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3.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  <w:shd w:val="clear" w:color="auto" w:fill="auto"/>
          </w:tcPr>
          <w:p w:rsidR="00B430D1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 определяется по сборнику текущих средних сметных цен Краснодарского края, разработанных ГАУ «</w:t>
            </w:r>
            <w:proofErr w:type="spellStart"/>
            <w:r w:rsidRPr="006A7DA3">
              <w:rPr>
                <w:rFonts w:eastAsia="Calibri" w:cs="Times New Roman"/>
                <w:sz w:val="20"/>
                <w:szCs w:val="20"/>
              </w:rPr>
              <w:t>Краснодаркрайгосэкспертиза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 xml:space="preserve">» (далее – СССЦ)/ сборнику цен строительных ресурсов, определенных Министерством строительства и ЖКХ РФ, размещенных в федеральной государственной информационной системе ценообразования (далее – ФГИС).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Стоимость применяемых материалов, изделий и конструкций, отсутствующих в СССЦ/ФГИС, включается на основании коммерческ</w:t>
            </w:r>
            <w:r>
              <w:rPr>
                <w:rFonts w:eastAsia="Calibri" w:cs="Times New Roman"/>
                <w:sz w:val="20"/>
                <w:szCs w:val="20"/>
              </w:rPr>
              <w:t>ого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предложения (прайс-листы</w:t>
            </w:r>
            <w:r>
              <w:rPr>
                <w:rFonts w:eastAsia="Calibri" w:cs="Times New Roman"/>
                <w:sz w:val="20"/>
                <w:szCs w:val="20"/>
              </w:rPr>
              <w:t xml:space="preserve"> поставщика</w:t>
            </w:r>
            <w:r w:rsidRPr="006A7DA3">
              <w:rPr>
                <w:rFonts w:eastAsia="Calibri" w:cs="Times New Roman"/>
                <w:sz w:val="20"/>
                <w:szCs w:val="20"/>
              </w:rPr>
              <w:t>.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В </w:t>
            </w:r>
            <w:r>
              <w:rPr>
                <w:rFonts w:eastAsia="Calibri" w:cs="Times New Roman"/>
                <w:sz w:val="20"/>
                <w:szCs w:val="20"/>
              </w:rPr>
              <w:t>нем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>, при условии получения информации из открытых источников сети-Интернет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 xml:space="preserve"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 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материалов определена по коммерческим предложениям, прайс-листам поставщиков необходима расшифровка ценообразования.</w:t>
            </w:r>
          </w:p>
        </w:tc>
      </w:tr>
      <w:tr w:rsidR="00B430D1" w:rsidRPr="006A7DA3" w:rsidTr="00E37905">
        <w:trPr>
          <w:trHeight w:val="772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ind w:right="55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документами. </w:t>
            </w:r>
          </w:p>
        </w:tc>
      </w:tr>
      <w:tr w:rsidR="00B430D1" w:rsidRPr="006A7DA3" w:rsidTr="00E37905">
        <w:trPr>
          <w:trHeight w:val="1049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5.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 оборудования, мебели и инвентаря определять по СССЦ/ФГИС. Стоимость оборудования, мебели и инвентаря, отсутствующих в СССЦ/ФГИС, включается на основании коммерческ</w:t>
            </w:r>
            <w:r>
              <w:rPr>
                <w:rFonts w:eastAsia="Calibri" w:cs="Times New Roman"/>
                <w:sz w:val="20"/>
                <w:szCs w:val="20"/>
              </w:rPr>
              <w:t>ого предложения (прайс-листа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) </w:t>
            </w:r>
            <w:r>
              <w:rPr>
                <w:rFonts w:eastAsia="Calibri" w:cs="Times New Roman"/>
                <w:sz w:val="20"/>
                <w:szCs w:val="20"/>
              </w:rPr>
              <w:t>поставщика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. В </w:t>
            </w:r>
            <w:r>
              <w:rPr>
                <w:rFonts w:eastAsia="Calibri" w:cs="Times New Roman"/>
                <w:sz w:val="20"/>
                <w:szCs w:val="20"/>
              </w:rPr>
              <w:t>коммерческом предложении</w:t>
            </w:r>
            <w:r w:rsidRPr="006A7DA3">
              <w:rPr>
                <w:rFonts w:eastAsia="Calibri" w:cs="Times New Roman"/>
                <w:sz w:val="20"/>
                <w:szCs w:val="20"/>
              </w:rPr>
              <w:t xml:space="preserve"> должны быть отражены наименование поставщика, дата предложения или </w:t>
            </w:r>
            <w:proofErr w:type="spellStart"/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гипер</w:t>
            </w:r>
            <w:proofErr w:type="spellEnd"/>
            <w:r w:rsidRPr="006A7DA3">
              <w:rPr>
                <w:rFonts w:eastAsia="Calibri" w:cs="Times New Roman"/>
                <w:sz w:val="20"/>
                <w:szCs w:val="20"/>
              </w:rPr>
              <w:t>-ссылка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>, при условии получения информации из открытых источников сети-Интернет.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Стоимость, принятая при формировании сметной документации по коммерческим предложениям, прайс-листам должна содержать расшифровку включенных в нее затрат (условия поставки, налоги и сборы, тара, транспортные расходы, комплектация и проч.).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каждой строке локальной сметы, где стоимость оборудования определенна по коммерческим предложениям, прайс-листам необходима расшифровка ценообразования.</w:t>
            </w:r>
          </w:p>
          <w:p w:rsidR="00B430D1" w:rsidRPr="006A7DA3" w:rsidRDefault="00B430D1" w:rsidP="00E37905">
            <w:pPr>
              <w:autoSpaceDE w:val="0"/>
              <w:autoSpaceDN w:val="0"/>
              <w:adjustRightInd w:val="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При составлении локальных смет на монтаж оборудования стоимость оборудования выделяется в отдельный раздел, а в позициях по монтажу указывается наименование устанавливаемого по данной расценке оборудования.</w:t>
            </w:r>
          </w:p>
        </w:tc>
      </w:tr>
      <w:tr w:rsidR="00B430D1" w:rsidRPr="006A7DA3" w:rsidTr="00E3790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6.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Размеры накладных расходов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соответствии с действующими нормативными документами по определению величины накладных расходов.</w:t>
            </w:r>
          </w:p>
        </w:tc>
      </w:tr>
      <w:tr w:rsidR="00B430D1" w:rsidRPr="006A7DA3" w:rsidTr="00E37905">
        <w:trPr>
          <w:trHeight w:val="263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7.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Размер сметной прибыли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величины сметной прибыли. </w:t>
            </w:r>
          </w:p>
        </w:tc>
      </w:tr>
      <w:tr w:rsidR="00B430D1" w:rsidRPr="006A7DA3" w:rsidTr="00E37905">
        <w:trPr>
          <w:trHeight w:val="510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8.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Затраты на временные здания и сооружения 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В соответствии с действующими нормативными документами по определению затрат на временные здания и вооружения. </w:t>
            </w:r>
          </w:p>
          <w:p w:rsidR="00B430D1" w:rsidRPr="006A7DA3" w:rsidRDefault="00B430D1" w:rsidP="00E37905">
            <w:pPr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Наличие затрат устанавливается Заказчиком. Затраты, не учтенные нормативом учитываются дополнительно локальными сметами, выполненными в соответствии с данными ПОС.</w:t>
            </w:r>
          </w:p>
        </w:tc>
      </w:tr>
      <w:tr w:rsidR="00B430D1" w:rsidRPr="006A7DA3" w:rsidTr="00E3790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9.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Затраты по гл. 1, 9, 10, 12 сводного сметного расчета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 Затраты предусматриваются в соответствии  с </w:t>
            </w:r>
            <w:proofErr w:type="gramStart"/>
            <w:r w:rsidRPr="006A7DA3">
              <w:rPr>
                <w:rFonts w:eastAsia="Calibri" w:cs="Times New Roman"/>
                <w:sz w:val="20"/>
                <w:szCs w:val="20"/>
              </w:rPr>
              <w:t>действующими</w:t>
            </w:r>
            <w:proofErr w:type="gramEnd"/>
            <w:r w:rsidRPr="006A7DA3">
              <w:rPr>
                <w:rFonts w:eastAsia="Calibri" w:cs="Times New Roman"/>
                <w:sz w:val="20"/>
                <w:szCs w:val="20"/>
              </w:rPr>
              <w:t xml:space="preserve"> нормативными.</w:t>
            </w:r>
          </w:p>
        </w:tc>
      </w:tr>
      <w:tr w:rsidR="00B430D1" w:rsidRPr="006A7DA3" w:rsidTr="00E37905">
        <w:trPr>
          <w:trHeight w:val="350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10.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Резерв средств на непредвиденные расходы 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Наличие резерва и величина средств на непредвиденные расходы устанавливается Заказчиком. </w:t>
            </w:r>
          </w:p>
        </w:tc>
      </w:tr>
      <w:tr w:rsidR="00B430D1" w:rsidRPr="006A7DA3" w:rsidTr="00E37905">
        <w:trPr>
          <w:trHeight w:val="381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11.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Расчеты выполнять в соответствии с ППР, согласованным Заказчиком. Расстояние перевозки принимается на основании транспортных схем, разработанных/согласованных с Заказчиком. Предусматривать возврат стоимости материалов от разборки.</w:t>
            </w:r>
          </w:p>
        </w:tc>
      </w:tr>
      <w:tr w:rsidR="00B430D1" w:rsidRPr="006A7DA3" w:rsidTr="00E37905">
        <w:trPr>
          <w:trHeight w:val="985"/>
          <w:jc w:val="center"/>
        </w:trPr>
        <w:tc>
          <w:tcPr>
            <w:tcW w:w="59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center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12.</w:t>
            </w:r>
          </w:p>
        </w:tc>
        <w:tc>
          <w:tcPr>
            <w:tcW w:w="3168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Дополнительные требования</w:t>
            </w:r>
          </w:p>
        </w:tc>
        <w:tc>
          <w:tcPr>
            <w:tcW w:w="6233" w:type="dxa"/>
            <w:shd w:val="clear" w:color="auto" w:fill="auto"/>
          </w:tcPr>
          <w:p w:rsidR="00B430D1" w:rsidRPr="006A7DA3" w:rsidRDefault="00B430D1" w:rsidP="00E37905">
            <w:pPr>
              <w:widowControl w:val="0"/>
              <w:shd w:val="clear" w:color="auto" w:fill="FFFFFF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 xml:space="preserve">Итоги в разделах локальных смет должны быть отражены по разделам сметы с начислением накладных расходов и сметной прибыли. </w:t>
            </w:r>
          </w:p>
          <w:p w:rsidR="00B430D1" w:rsidRPr="006A7DA3" w:rsidRDefault="00B430D1" w:rsidP="00E37905">
            <w:pPr>
              <w:ind w:left="2" w:right="80"/>
              <w:jc w:val="both"/>
              <w:rPr>
                <w:rFonts w:eastAsia="Calibri" w:cs="Times New Roman"/>
                <w:sz w:val="20"/>
                <w:szCs w:val="20"/>
              </w:rPr>
            </w:pPr>
            <w:r w:rsidRPr="006A7DA3">
              <w:rPr>
                <w:rFonts w:eastAsia="Calibri" w:cs="Times New Roman"/>
                <w:sz w:val="20"/>
                <w:szCs w:val="20"/>
              </w:rPr>
              <w:t>В пояснительной записке к сметной документации указываются все применяемые индексы и коэффициенты.</w:t>
            </w:r>
          </w:p>
        </w:tc>
      </w:tr>
    </w:tbl>
    <w:p w:rsidR="00BB7186" w:rsidRDefault="00BB7186" w:rsidP="00B430D1">
      <w:pPr>
        <w:ind w:right="-2"/>
        <w:rPr>
          <w:b/>
          <w:szCs w:val="24"/>
        </w:rPr>
        <w:sectPr w:rsidR="00BB7186" w:rsidSect="005B50DF">
          <w:footerReference w:type="default" r:id="rId9"/>
          <w:pgSz w:w="11906" w:h="16838"/>
          <w:pgMar w:top="993" w:right="850" w:bottom="1134" w:left="1701" w:header="708" w:footer="708" w:gutter="0"/>
          <w:cols w:space="708"/>
          <w:docGrid w:linePitch="360"/>
        </w:sectPr>
      </w:pPr>
      <w:r>
        <w:rPr>
          <w:b/>
          <w:szCs w:val="24"/>
        </w:rPr>
        <w:br w:type="page"/>
      </w:r>
    </w:p>
    <w:p w:rsidR="00BB7186" w:rsidRPr="0006093E" w:rsidRDefault="00BB7186" w:rsidP="00BB7186">
      <w:pPr>
        <w:ind w:left="6804"/>
      </w:pPr>
      <w:r w:rsidRPr="0006093E">
        <w:lastRenderedPageBreak/>
        <w:t>Приложение №</w:t>
      </w:r>
      <w:r>
        <w:t>3</w:t>
      </w:r>
    </w:p>
    <w:p w:rsidR="00BB7186" w:rsidRPr="0006093E" w:rsidRDefault="00BB7186" w:rsidP="00BB7186">
      <w:pPr>
        <w:ind w:left="6804"/>
      </w:pPr>
      <w:r w:rsidRPr="0006093E">
        <w:t>к техническому заданию</w:t>
      </w:r>
    </w:p>
    <w:p w:rsidR="00B430D1" w:rsidRDefault="00BB7186" w:rsidP="00BB7186">
      <w:pPr>
        <w:pStyle w:val="1"/>
      </w:pPr>
      <w:r>
        <w:t xml:space="preserve">ПЛАН-СХЕМА УСТРОЙСТВА ПЕРЕГОРОДОК </w:t>
      </w:r>
      <w:r>
        <w:br/>
        <w:t>В ПОМЕЩЕНИИ ПРОКАТА</w:t>
      </w:r>
    </w:p>
    <w:p w:rsidR="00361428" w:rsidRDefault="00BB7186" w:rsidP="00BB7186">
      <w:pPr>
        <w:tabs>
          <w:tab w:val="left" w:pos="6237"/>
        </w:tabs>
        <w:spacing w:line="240" w:lineRule="auto"/>
        <w:jc w:val="center"/>
        <w:rPr>
          <w:rFonts w:eastAsia="Times New Roman" w:cs="Times New Roman"/>
          <w:i/>
          <w:sz w:val="20"/>
          <w:szCs w:val="20"/>
        </w:rPr>
      </w:pPr>
      <w:r>
        <w:rPr>
          <w:rFonts w:eastAsia="Times New Roman" w:cs="Times New Roman"/>
          <w:i/>
          <w:sz w:val="20"/>
          <w:szCs w:val="20"/>
        </w:rPr>
        <w:object w:dxaOrig="17865" w:dyaOrig="1263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6pt;height:411pt" o:ole="">
            <v:imagedata r:id="rId10" o:title="" croptop="10430f" cropbottom="6149f" cropleft="9575f" cropright="15132f"/>
          </v:shape>
          <o:OLEObject Type="Embed" ProgID="AcroExch.Document.11" ShapeID="_x0000_i1025" DrawAspect="Content" ObjectID="_1630307809" r:id="rId11"/>
        </w:object>
      </w:r>
    </w:p>
    <w:sectPr w:rsidR="00361428" w:rsidSect="00BB7186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2052" w:rsidRDefault="003F2052" w:rsidP="00AC06E0">
      <w:pPr>
        <w:spacing w:line="240" w:lineRule="auto"/>
      </w:pPr>
      <w:r>
        <w:separator/>
      </w:r>
    </w:p>
  </w:endnote>
  <w:endnote w:type="continuationSeparator" w:id="0">
    <w:p w:rsidR="003F2052" w:rsidRDefault="003F2052" w:rsidP="00AC06E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67400382"/>
      <w:docPartObj>
        <w:docPartGallery w:val="Page Numbers (Bottom of Page)"/>
        <w:docPartUnique/>
      </w:docPartObj>
    </w:sdtPr>
    <w:sdtEndPr/>
    <w:sdtContent>
      <w:p w:rsidR="00AC06E0" w:rsidRDefault="00AC06E0" w:rsidP="00E1568A">
        <w:pPr>
          <w:pStyle w:val="a9"/>
          <w:ind w:firstLine="70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3063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2052" w:rsidRDefault="003F2052" w:rsidP="00AC06E0">
      <w:pPr>
        <w:spacing w:line="240" w:lineRule="auto"/>
      </w:pPr>
      <w:r>
        <w:separator/>
      </w:r>
    </w:p>
  </w:footnote>
  <w:footnote w:type="continuationSeparator" w:id="0">
    <w:p w:rsidR="003F2052" w:rsidRDefault="003F2052" w:rsidP="00AC06E0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CC3B17"/>
    <w:multiLevelType w:val="hybridMultilevel"/>
    <w:tmpl w:val="58CC1580"/>
    <w:lvl w:ilvl="0" w:tplc="5B02E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FC45CC2"/>
    <w:multiLevelType w:val="hybridMultilevel"/>
    <w:tmpl w:val="DD8E3F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221D28"/>
    <w:multiLevelType w:val="hybridMultilevel"/>
    <w:tmpl w:val="9BA47654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131459"/>
    <w:multiLevelType w:val="hybridMultilevel"/>
    <w:tmpl w:val="1480B21A"/>
    <w:lvl w:ilvl="0" w:tplc="4066D55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C8F19C3"/>
    <w:multiLevelType w:val="hybridMultilevel"/>
    <w:tmpl w:val="225EF3B8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7517E2"/>
    <w:multiLevelType w:val="hybridMultilevel"/>
    <w:tmpl w:val="A8DA2E92"/>
    <w:lvl w:ilvl="0" w:tplc="EA14BE3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503858"/>
    <w:multiLevelType w:val="hybridMultilevel"/>
    <w:tmpl w:val="836677AC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4DD0ECC"/>
    <w:multiLevelType w:val="hybridMultilevel"/>
    <w:tmpl w:val="D3EEFA1E"/>
    <w:lvl w:ilvl="0" w:tplc="BD2A9FA4">
      <w:start w:val="1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>
    <w:nsid w:val="474F5A5A"/>
    <w:multiLevelType w:val="hybridMultilevel"/>
    <w:tmpl w:val="1396D2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323AF8"/>
    <w:multiLevelType w:val="hybridMultilevel"/>
    <w:tmpl w:val="F87A17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ABC7ECC"/>
    <w:multiLevelType w:val="hybridMultilevel"/>
    <w:tmpl w:val="638A01C0"/>
    <w:lvl w:ilvl="0" w:tplc="F956E5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4E1499"/>
    <w:multiLevelType w:val="hybridMultilevel"/>
    <w:tmpl w:val="55AC0E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DF6A50"/>
    <w:multiLevelType w:val="hybridMultilevel"/>
    <w:tmpl w:val="A542789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</w:num>
  <w:num w:numId="2">
    <w:abstractNumId w:val="7"/>
  </w:num>
  <w:num w:numId="3">
    <w:abstractNumId w:val="10"/>
  </w:num>
  <w:num w:numId="4">
    <w:abstractNumId w:val="6"/>
  </w:num>
  <w:num w:numId="5">
    <w:abstractNumId w:val="4"/>
  </w:num>
  <w:num w:numId="6">
    <w:abstractNumId w:val="5"/>
  </w:num>
  <w:num w:numId="7">
    <w:abstractNumId w:val="11"/>
  </w:num>
  <w:num w:numId="8">
    <w:abstractNumId w:val="2"/>
  </w:num>
  <w:num w:numId="9">
    <w:abstractNumId w:val="3"/>
  </w:num>
  <w:num w:numId="10">
    <w:abstractNumId w:val="8"/>
  </w:num>
  <w:num w:numId="11">
    <w:abstractNumId w:val="1"/>
  </w:num>
  <w:num w:numId="12">
    <w:abstractNumId w:val="0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585"/>
    <w:rsid w:val="000126EE"/>
    <w:rsid w:val="00017E89"/>
    <w:rsid w:val="0002636B"/>
    <w:rsid w:val="000301C6"/>
    <w:rsid w:val="00030CDF"/>
    <w:rsid w:val="000537FD"/>
    <w:rsid w:val="00054E2C"/>
    <w:rsid w:val="0006093E"/>
    <w:rsid w:val="000616FE"/>
    <w:rsid w:val="00077EAE"/>
    <w:rsid w:val="000A3078"/>
    <w:rsid w:val="000D17EF"/>
    <w:rsid w:val="0012627D"/>
    <w:rsid w:val="001429C8"/>
    <w:rsid w:val="00146B09"/>
    <w:rsid w:val="0017053A"/>
    <w:rsid w:val="00173C78"/>
    <w:rsid w:val="001A1767"/>
    <w:rsid w:val="001B1499"/>
    <w:rsid w:val="001C6117"/>
    <w:rsid w:val="001D1716"/>
    <w:rsid w:val="001D24B8"/>
    <w:rsid w:val="00217382"/>
    <w:rsid w:val="002246A4"/>
    <w:rsid w:val="00272B4F"/>
    <w:rsid w:val="002D319B"/>
    <w:rsid w:val="002E5CDF"/>
    <w:rsid w:val="002F29C6"/>
    <w:rsid w:val="003015E9"/>
    <w:rsid w:val="003128A1"/>
    <w:rsid w:val="00356B33"/>
    <w:rsid w:val="00360641"/>
    <w:rsid w:val="00361428"/>
    <w:rsid w:val="0036396A"/>
    <w:rsid w:val="00365A0E"/>
    <w:rsid w:val="003A20A4"/>
    <w:rsid w:val="003B46D4"/>
    <w:rsid w:val="003F2052"/>
    <w:rsid w:val="00402CEE"/>
    <w:rsid w:val="00403A1E"/>
    <w:rsid w:val="004131A0"/>
    <w:rsid w:val="00445FCF"/>
    <w:rsid w:val="004557B7"/>
    <w:rsid w:val="00474D0A"/>
    <w:rsid w:val="00475B4B"/>
    <w:rsid w:val="0048050B"/>
    <w:rsid w:val="004A325E"/>
    <w:rsid w:val="004A5CEF"/>
    <w:rsid w:val="004B3D66"/>
    <w:rsid w:val="004E7EA5"/>
    <w:rsid w:val="00516331"/>
    <w:rsid w:val="005168B2"/>
    <w:rsid w:val="00537B0E"/>
    <w:rsid w:val="00570C88"/>
    <w:rsid w:val="00572BC9"/>
    <w:rsid w:val="0059060A"/>
    <w:rsid w:val="005B50DF"/>
    <w:rsid w:val="005C112C"/>
    <w:rsid w:val="005C2C83"/>
    <w:rsid w:val="005D0BAF"/>
    <w:rsid w:val="005E14BC"/>
    <w:rsid w:val="005F509A"/>
    <w:rsid w:val="00612EC2"/>
    <w:rsid w:val="00623AFA"/>
    <w:rsid w:val="00630871"/>
    <w:rsid w:val="00672E76"/>
    <w:rsid w:val="00675037"/>
    <w:rsid w:val="00682708"/>
    <w:rsid w:val="006941B0"/>
    <w:rsid w:val="006A6009"/>
    <w:rsid w:val="006B0BA3"/>
    <w:rsid w:val="006B38B4"/>
    <w:rsid w:val="006C4074"/>
    <w:rsid w:val="006C7E99"/>
    <w:rsid w:val="00703E85"/>
    <w:rsid w:val="00721213"/>
    <w:rsid w:val="00726416"/>
    <w:rsid w:val="007A231F"/>
    <w:rsid w:val="007C600D"/>
    <w:rsid w:val="007C6EFA"/>
    <w:rsid w:val="007D1389"/>
    <w:rsid w:val="007E1332"/>
    <w:rsid w:val="007F48DC"/>
    <w:rsid w:val="00803BAB"/>
    <w:rsid w:val="0080655F"/>
    <w:rsid w:val="00823ED7"/>
    <w:rsid w:val="00830C5B"/>
    <w:rsid w:val="00833789"/>
    <w:rsid w:val="00840765"/>
    <w:rsid w:val="00852581"/>
    <w:rsid w:val="00867748"/>
    <w:rsid w:val="008913FC"/>
    <w:rsid w:val="008B6600"/>
    <w:rsid w:val="008B7BCE"/>
    <w:rsid w:val="00921531"/>
    <w:rsid w:val="00932BB2"/>
    <w:rsid w:val="00943390"/>
    <w:rsid w:val="00955AFF"/>
    <w:rsid w:val="00966140"/>
    <w:rsid w:val="009709F6"/>
    <w:rsid w:val="0097616F"/>
    <w:rsid w:val="00977E60"/>
    <w:rsid w:val="00995FD4"/>
    <w:rsid w:val="009A26F4"/>
    <w:rsid w:val="009A3950"/>
    <w:rsid w:val="009A6F11"/>
    <w:rsid w:val="009E113F"/>
    <w:rsid w:val="009E17CB"/>
    <w:rsid w:val="009F029C"/>
    <w:rsid w:val="00A04956"/>
    <w:rsid w:val="00A2054E"/>
    <w:rsid w:val="00A53547"/>
    <w:rsid w:val="00A82051"/>
    <w:rsid w:val="00AA2B5E"/>
    <w:rsid w:val="00AA2EF3"/>
    <w:rsid w:val="00AB079A"/>
    <w:rsid w:val="00AC06E0"/>
    <w:rsid w:val="00AF28B2"/>
    <w:rsid w:val="00B430D1"/>
    <w:rsid w:val="00B46CD5"/>
    <w:rsid w:val="00B70585"/>
    <w:rsid w:val="00B73F25"/>
    <w:rsid w:val="00BB7186"/>
    <w:rsid w:val="00BF62F5"/>
    <w:rsid w:val="00C034F4"/>
    <w:rsid w:val="00C13AD2"/>
    <w:rsid w:val="00C41A87"/>
    <w:rsid w:val="00C96118"/>
    <w:rsid w:val="00CA017C"/>
    <w:rsid w:val="00CC1BA2"/>
    <w:rsid w:val="00CC2809"/>
    <w:rsid w:val="00CD0DD8"/>
    <w:rsid w:val="00CE3063"/>
    <w:rsid w:val="00CF5A78"/>
    <w:rsid w:val="00D0691E"/>
    <w:rsid w:val="00D100EE"/>
    <w:rsid w:val="00D11CE1"/>
    <w:rsid w:val="00D41BE9"/>
    <w:rsid w:val="00DB1627"/>
    <w:rsid w:val="00DD58CF"/>
    <w:rsid w:val="00DD6DBE"/>
    <w:rsid w:val="00E1568A"/>
    <w:rsid w:val="00E22202"/>
    <w:rsid w:val="00E3310B"/>
    <w:rsid w:val="00E73B63"/>
    <w:rsid w:val="00E95CE0"/>
    <w:rsid w:val="00EB1B40"/>
    <w:rsid w:val="00EE70DD"/>
    <w:rsid w:val="00EF653E"/>
    <w:rsid w:val="00EF7FF6"/>
    <w:rsid w:val="00F35528"/>
    <w:rsid w:val="00F437C8"/>
    <w:rsid w:val="00F5488B"/>
    <w:rsid w:val="00F86561"/>
    <w:rsid w:val="00F90960"/>
    <w:rsid w:val="00FA5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93E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093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093E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093E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8CF"/>
    <w:pPr>
      <w:spacing w:after="0"/>
    </w:pPr>
    <w:rPr>
      <w:rFonts w:ascii="Times New Roman" w:eastAsiaTheme="minorEastAsia" w:hAnsi="Times New Roman"/>
      <w:sz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6093E"/>
    <w:pPr>
      <w:keepNext/>
      <w:keepLines/>
      <w:spacing w:before="480"/>
      <w:jc w:val="center"/>
      <w:outlineLvl w:val="0"/>
    </w:pPr>
    <w:rPr>
      <w:rFonts w:eastAsiaTheme="majorEastAsia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6093E"/>
    <w:pPr>
      <w:keepNext/>
      <w:keepLines/>
      <w:spacing w:before="200"/>
      <w:jc w:val="center"/>
      <w:outlineLvl w:val="1"/>
    </w:pPr>
    <w:rPr>
      <w:rFonts w:eastAsiaTheme="majorEastAsia" w:cstheme="majorBidi"/>
      <w:b/>
      <w:bCs/>
      <w:sz w:val="28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B70585"/>
    <w:pPr>
      <w:ind w:left="720"/>
      <w:contextualSpacing/>
    </w:pPr>
    <w:rPr>
      <w:rFonts w:ascii="Calibri" w:eastAsia="Calibri" w:hAnsi="Calibri" w:cs="Times New Roman"/>
    </w:rPr>
  </w:style>
  <w:style w:type="table" w:styleId="a5">
    <w:name w:val="Table Grid"/>
    <w:basedOn w:val="a1"/>
    <w:uiPriority w:val="59"/>
    <w:rsid w:val="00B705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">
    <w:name w:val=".FORMATTEXT"/>
    <w:uiPriority w:val="99"/>
    <w:rsid w:val="00B7058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Абзац списка Знак"/>
    <w:basedOn w:val="a0"/>
    <w:link w:val="a3"/>
    <w:uiPriority w:val="34"/>
    <w:locked/>
    <w:rsid w:val="00B70585"/>
    <w:rPr>
      <w:rFonts w:ascii="Calibri" w:eastAsia="Calibri" w:hAnsi="Calibri" w:cs="Times New Roman"/>
      <w:lang w:eastAsia="ru-RU"/>
    </w:rPr>
  </w:style>
  <w:style w:type="paragraph" w:styleId="a6">
    <w:name w:val="No Spacing"/>
    <w:uiPriority w:val="1"/>
    <w:qFormat/>
    <w:rsid w:val="001B1499"/>
    <w:pPr>
      <w:spacing w:after="0" w:line="240" w:lineRule="auto"/>
    </w:pPr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AC06E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06E0"/>
    <w:rPr>
      <w:rFonts w:ascii="Tahoma" w:eastAsiaTheme="minorEastAsia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styleId="ab">
    <w:name w:val="footer"/>
    <w:basedOn w:val="a"/>
    <w:link w:val="ac"/>
    <w:uiPriority w:val="99"/>
    <w:unhideWhenUsed/>
    <w:rsid w:val="00AC06E0"/>
    <w:pPr>
      <w:tabs>
        <w:tab w:val="center" w:pos="4677"/>
        <w:tab w:val="right" w:pos="9355"/>
      </w:tabs>
      <w:spacing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AC06E0"/>
    <w:rPr>
      <w:rFonts w:ascii="Times New Roman" w:eastAsiaTheme="minorEastAsia" w:hAnsi="Times New Roman"/>
      <w:sz w:val="24"/>
      <w:lang w:eastAsia="ru-RU"/>
    </w:rPr>
  </w:style>
  <w:style w:type="paragraph" w:customStyle="1" w:styleId="Default">
    <w:name w:val="Default"/>
    <w:rsid w:val="00445FCF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6093E"/>
    <w:rPr>
      <w:rFonts w:ascii="Times New Roman" w:eastAsiaTheme="majorEastAsia" w:hAnsi="Times New Roman" w:cstheme="majorBidi"/>
      <w:b/>
      <w:bCs/>
      <w:sz w:val="28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6093E"/>
    <w:rPr>
      <w:rFonts w:ascii="Times New Roman" w:eastAsiaTheme="majorEastAsia" w:hAnsi="Times New Roman" w:cstheme="majorBidi"/>
      <w:b/>
      <w:bCs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152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1.bin"/><Relationship Id="rId5" Type="http://schemas.openxmlformats.org/officeDocument/2006/relationships/settings" Target="settings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07BDA6-E111-4AA4-B35D-B41CA6D60E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9</Pages>
  <Words>2740</Words>
  <Characters>15622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Пресняков Олег Евгеньевич</dc:creator>
  <cp:lastModifiedBy>Пресняков Олег Евгеньевич</cp:lastModifiedBy>
  <cp:revision>23</cp:revision>
  <dcterms:created xsi:type="dcterms:W3CDTF">2019-07-08T09:48:00Z</dcterms:created>
  <dcterms:modified xsi:type="dcterms:W3CDTF">2019-09-18T07:30:00Z</dcterms:modified>
</cp:coreProperties>
</file>