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7A253D" w:rsidRPr="009D14E0">
        <w:rPr>
          <w:color w:val="000000" w:themeColor="text1"/>
          <w:sz w:val="22"/>
          <w:szCs w:val="22"/>
        </w:rPr>
        <w:t>7</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7A253D" w:rsidRPr="00B24FE2" w:rsidRDefault="007A253D" w:rsidP="007A253D">
      <w:pPr>
        <w:ind w:firstLine="426"/>
        <w:jc w:val="both"/>
        <w:rPr>
          <w:bCs/>
          <w:sz w:val="22"/>
          <w:szCs w:val="22"/>
        </w:rPr>
      </w:pPr>
      <w:r w:rsidRPr="00B24FE2">
        <w:rPr>
          <w:b/>
          <w:sz w:val="22"/>
          <w:szCs w:val="22"/>
        </w:rPr>
        <w:t>Непубличное акционерное общество «Красная поляна» (НАО «Красная поляна»),</w:t>
      </w:r>
      <w:r w:rsidRPr="00B24FE2">
        <w:rPr>
          <w:sz w:val="22"/>
          <w:szCs w:val="22"/>
        </w:rPr>
        <w:t xml:space="preserve"> именуемое в дальнейшем «</w:t>
      </w:r>
      <w:r w:rsidRPr="00B24FE2">
        <w:rPr>
          <w:b/>
          <w:sz w:val="22"/>
          <w:szCs w:val="22"/>
        </w:rPr>
        <w:t>Покупатель»</w:t>
      </w:r>
      <w:r w:rsidRPr="00B24FE2">
        <w:rPr>
          <w:sz w:val="22"/>
          <w:szCs w:val="22"/>
        </w:rPr>
        <w:t xml:space="preserve">, в лице Первого заместителя генерального директора Немцова А.В., действующего на основании Доверенности №1 от 01.01.2017г.,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w:t>
      </w:r>
      <w:r w:rsidR="007A253D"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A253D">
        <w:rPr>
          <w:bCs/>
          <w:sz w:val="22"/>
          <w:szCs w:val="22"/>
        </w:rPr>
        <w:t>7</w:t>
      </w:r>
      <w:r w:rsidR="007A253D" w:rsidRPr="00F55184">
        <w:rPr>
          <w:bCs/>
          <w:sz w:val="22"/>
          <w:szCs w:val="22"/>
        </w:rPr>
        <w:t xml:space="preserve"> г.</w:t>
      </w:r>
      <w:r w:rsidR="007A253D">
        <w:rPr>
          <w:bCs/>
          <w:sz w:val="22"/>
          <w:szCs w:val="22"/>
        </w:rPr>
        <w:t xml:space="preserve">, </w:t>
      </w:r>
      <w:r w:rsidR="008D6690" w:rsidRPr="009917A0">
        <w:rPr>
          <w:bCs/>
          <w:sz w:val="22"/>
          <w:szCs w:val="22"/>
        </w:rPr>
        <w:t xml:space="preserve">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1B7761" w:rsidRDefault="00470AB9" w:rsidP="001B7761">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253D">
        <w:rPr>
          <w:sz w:val="22"/>
          <w:szCs w:val="22"/>
        </w:rPr>
        <w:t xml:space="preserve"> </w:t>
      </w:r>
      <w:r w:rsidR="00B71765" w:rsidRPr="00B71765">
        <w:rPr>
          <w:b/>
          <w:sz w:val="22"/>
          <w:szCs w:val="22"/>
          <w:lang w:eastAsia="en-US"/>
        </w:rPr>
        <w:t xml:space="preserve">товар для </w:t>
      </w:r>
      <w:r w:rsidR="00B71765" w:rsidRPr="00B71765">
        <w:rPr>
          <w:b/>
          <w:color w:val="000000"/>
          <w:sz w:val="22"/>
          <w:szCs w:val="22"/>
        </w:rPr>
        <w:t>модернизации систем хранения и серверов</w:t>
      </w:r>
      <w:r w:rsidRPr="00B71765">
        <w:rPr>
          <w:sz w:val="22"/>
          <w:szCs w:val="22"/>
        </w:rPr>
        <w:t xml:space="preserve"> (далее – Товар), наименование, ассортимент,</w:t>
      </w:r>
      <w:r w:rsidRPr="001B7761">
        <w:rPr>
          <w:sz w:val="22"/>
          <w:szCs w:val="22"/>
        </w:rPr>
        <w:t xml:space="preserve">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w:t>
      </w:r>
      <w:r w:rsidR="007A253D">
        <w:rPr>
          <w:sz w:val="22"/>
          <w:szCs w:val="22"/>
        </w:rPr>
        <w:t>вляемые товары не нарушают чьих-</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7A253D"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7A253D">
        <w:rPr>
          <w:sz w:val="22"/>
          <w:szCs w:val="22"/>
        </w:rPr>
        <w:t>Поставщик осуществляет доставку Товара на склад Покупателя, находящийся по адресу</w:t>
      </w:r>
      <w:r w:rsidRPr="00962A12">
        <w:rPr>
          <w:sz w:val="22"/>
          <w:szCs w:val="22"/>
        </w:rPr>
        <w:t xml:space="preserve">: </w:t>
      </w:r>
      <w:r w:rsidR="00FB61E8">
        <w:rPr>
          <w:sz w:val="22"/>
          <w:szCs w:val="22"/>
        </w:rPr>
        <w:t xml:space="preserve">Краснодарский край, </w:t>
      </w:r>
      <w:r w:rsidR="00962A12" w:rsidRPr="00962A12">
        <w:rPr>
          <w:sz w:val="22"/>
          <w:szCs w:val="22"/>
        </w:rPr>
        <w:t>г. Сочи,</w:t>
      </w:r>
      <w:r w:rsidR="00FB61E8">
        <w:rPr>
          <w:sz w:val="22"/>
          <w:szCs w:val="22"/>
        </w:rPr>
        <w:t xml:space="preserve"> Адлерский район,</w:t>
      </w:r>
      <w:r w:rsidR="00962A12" w:rsidRPr="00962A12">
        <w:rPr>
          <w:sz w:val="22"/>
          <w:szCs w:val="22"/>
        </w:rPr>
        <w:t xml:space="preserve"> пгт. Эсто-Садок, СТК «Горная Карусель», ул. Набережная Времена Года, д.11</w:t>
      </w:r>
      <w:r w:rsidR="001B7761">
        <w:rPr>
          <w:sz w:val="22"/>
          <w:szCs w:val="22"/>
        </w:rPr>
        <w:t>,</w:t>
      </w:r>
      <w:r w:rsidR="007A253D" w:rsidRPr="00962A12">
        <w:rPr>
          <w:sz w:val="22"/>
          <w:szCs w:val="22"/>
        </w:rPr>
        <w:t xml:space="preserve"> </w:t>
      </w:r>
      <w:r w:rsidR="00667636" w:rsidRPr="00962A12">
        <w:rPr>
          <w:sz w:val="22"/>
          <w:szCs w:val="22"/>
        </w:rPr>
        <w:t>по</w:t>
      </w:r>
      <w:r w:rsidR="00667636" w:rsidRPr="007A253D">
        <w:rPr>
          <w:sz w:val="22"/>
          <w:szCs w:val="22"/>
        </w:rPr>
        <w:t xml:space="preserve"> наименованию, количеству и ассортименту в соответствии со </w:t>
      </w:r>
      <w:hyperlink r:id="rId11" w:history="1">
        <w:r w:rsidR="00667636" w:rsidRPr="007A253D">
          <w:rPr>
            <w:rStyle w:val="af9"/>
            <w:color w:val="auto"/>
            <w:sz w:val="22"/>
            <w:szCs w:val="22"/>
            <w:u w:val="none"/>
          </w:rPr>
          <w:t>Спецификацией</w:t>
        </w:r>
      </w:hyperlink>
      <w:r w:rsidR="00261C74" w:rsidRPr="007A253D">
        <w:rPr>
          <w:sz w:val="22"/>
          <w:szCs w:val="22"/>
        </w:rPr>
        <w:t xml:space="preserve"> (Приложение №1 к настоящему Договору)</w:t>
      </w:r>
      <w:r w:rsidR="00667636" w:rsidRPr="007A253D">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6420E7" w:rsidRDefault="008C7216" w:rsidP="00412057">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7A253D">
        <w:rPr>
          <w:sz w:val="22"/>
          <w:szCs w:val="22"/>
        </w:rPr>
        <w:t xml:space="preserve">– </w:t>
      </w:r>
      <w:r w:rsidR="007A253D" w:rsidRPr="007A253D">
        <w:rPr>
          <w:sz w:val="22"/>
          <w:szCs w:val="22"/>
        </w:rPr>
        <w:t xml:space="preserve">не более </w:t>
      </w:r>
      <w:r w:rsidR="00B71765">
        <w:rPr>
          <w:sz w:val="22"/>
          <w:szCs w:val="22"/>
        </w:rPr>
        <w:t>3</w:t>
      </w:r>
      <w:r w:rsidR="001B7761">
        <w:rPr>
          <w:sz w:val="22"/>
          <w:szCs w:val="22"/>
        </w:rPr>
        <w:t>0</w:t>
      </w:r>
      <w:r w:rsidR="007A253D" w:rsidRPr="007A253D">
        <w:rPr>
          <w:sz w:val="22"/>
          <w:szCs w:val="22"/>
        </w:rPr>
        <w:t xml:space="preserve"> (</w:t>
      </w:r>
      <w:r w:rsidR="00B71765">
        <w:rPr>
          <w:sz w:val="22"/>
          <w:szCs w:val="22"/>
        </w:rPr>
        <w:t>тридцати</w:t>
      </w:r>
      <w:r w:rsidR="007A253D" w:rsidRPr="007A253D">
        <w:rPr>
          <w:sz w:val="22"/>
          <w:szCs w:val="22"/>
        </w:rPr>
        <w:t xml:space="preserve">) календарных дней с даты </w:t>
      </w:r>
      <w:r w:rsidRPr="007A253D">
        <w:rPr>
          <w:sz w:val="22"/>
          <w:szCs w:val="22"/>
        </w:rPr>
        <w:t>перечисления П</w:t>
      </w:r>
      <w:r w:rsidR="007A253D" w:rsidRPr="007A253D">
        <w:rPr>
          <w:sz w:val="22"/>
          <w:szCs w:val="22"/>
        </w:rPr>
        <w:t>окупателем</w:t>
      </w:r>
      <w:r w:rsidR="007A253D">
        <w:rPr>
          <w:sz w:val="22"/>
          <w:szCs w:val="22"/>
        </w:rPr>
        <w:t xml:space="preserve"> авансового платежа, </w:t>
      </w:r>
      <w:r w:rsidRPr="00EA1B6B">
        <w:rPr>
          <w:sz w:val="22"/>
          <w:szCs w:val="22"/>
        </w:rPr>
        <w:t>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7A253D"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7A253D">
        <w:rPr>
          <w:snapToGrid w:val="0"/>
          <w:sz w:val="22"/>
          <w:szCs w:val="22"/>
        </w:rPr>
        <w:t>Товар должен быть новым, не находившимся ранее в эксплуатации.</w:t>
      </w:r>
      <w:r w:rsidRPr="007A253D">
        <w:rPr>
          <w:sz w:val="22"/>
          <w:szCs w:val="22"/>
        </w:rPr>
        <w:t xml:space="preserve"> </w:t>
      </w:r>
      <w:r w:rsidRPr="007A253D">
        <w:rPr>
          <w:snapToGrid w:val="0"/>
          <w:sz w:val="22"/>
          <w:szCs w:val="22"/>
        </w:rPr>
        <w:t>Покупатель вправе отказаться от приемки Товара, поставленного с нарушением данного условия</w:t>
      </w:r>
      <w:r w:rsidRPr="007A253D">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7A253D">
        <w:rPr>
          <w:snapToGrid w:val="0"/>
          <w:sz w:val="22"/>
          <w:szCs w:val="22"/>
        </w:rPr>
        <w:t xml:space="preserve">, </w:t>
      </w:r>
      <w:r w:rsidRPr="007A253D">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962A12" w:rsidDel="00962A12">
        <w:rPr>
          <w:sz w:val="22"/>
          <w:szCs w:val="22"/>
        </w:rPr>
        <w:t xml:space="preserve"> </w:t>
      </w:r>
      <w:r w:rsidR="00DA2D60"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Товара по количеству и стоимости произво</w:t>
      </w:r>
      <w:r w:rsidR="00CF6265">
        <w:rPr>
          <w:color w:val="000000" w:themeColor="text1"/>
          <w:sz w:val="22"/>
          <w:szCs w:val="22"/>
        </w:rPr>
        <w:t xml:space="preserve">дится в момент поставки Товара </w:t>
      </w:r>
      <w:r w:rsidRPr="006466FE">
        <w:rPr>
          <w:color w:val="000000" w:themeColor="text1"/>
          <w:sz w:val="22"/>
          <w:szCs w:val="22"/>
        </w:rPr>
        <w:t xml:space="preserve">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w:t>
      </w:r>
      <w:r w:rsidR="00CF6265">
        <w:rPr>
          <w:color w:val="000000" w:themeColor="text1"/>
          <w:sz w:val="22"/>
          <w:szCs w:val="22"/>
        </w:rPr>
        <w:t xml:space="preserve">окупателю по электронной почте: </w:t>
      </w:r>
      <w:r w:rsidR="00B71765" w:rsidRPr="00533A5F">
        <w:rPr>
          <w:sz w:val="22"/>
          <w:szCs w:val="22"/>
          <w:u w:val="single"/>
          <w:lang w:val="en-US"/>
        </w:rPr>
        <w:t>e</w:t>
      </w:r>
      <w:r w:rsidR="00B71765" w:rsidRPr="00533A5F">
        <w:rPr>
          <w:sz w:val="22"/>
          <w:szCs w:val="22"/>
          <w:u w:val="single"/>
        </w:rPr>
        <w:t>.</w:t>
      </w:r>
      <w:r w:rsidR="00B71765" w:rsidRPr="00533A5F">
        <w:rPr>
          <w:sz w:val="22"/>
          <w:szCs w:val="22"/>
          <w:u w:val="single"/>
          <w:lang w:val="en-US"/>
        </w:rPr>
        <w:t>belokon</w:t>
      </w:r>
      <w:r w:rsidR="00B71765" w:rsidRPr="00533A5F">
        <w:rPr>
          <w:sz w:val="22"/>
          <w:szCs w:val="22"/>
          <w:u w:val="single"/>
        </w:rPr>
        <w:t>@</w:t>
      </w:r>
      <w:r w:rsidR="00B71765" w:rsidRPr="00533A5F">
        <w:rPr>
          <w:sz w:val="22"/>
          <w:szCs w:val="22"/>
          <w:u w:val="single"/>
          <w:lang w:val="en-US"/>
        </w:rPr>
        <w:t>karousel</w:t>
      </w:r>
      <w:r w:rsidR="00B71765" w:rsidRPr="00533A5F">
        <w:rPr>
          <w:sz w:val="22"/>
          <w:szCs w:val="22"/>
          <w:u w:val="single"/>
        </w:rPr>
        <w:t>.</w:t>
      </w:r>
      <w:r w:rsidR="00B71765" w:rsidRPr="00533A5F">
        <w:rPr>
          <w:sz w:val="22"/>
          <w:szCs w:val="22"/>
          <w:u w:val="single"/>
          <w:lang w:val="en-US"/>
        </w:rPr>
        <w:t>ru</w:t>
      </w:r>
      <w:r w:rsidR="00173D65" w:rsidRPr="00D92CF4">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 поставленного с нарушением данного условия (с соблюде</w:t>
      </w:r>
      <w:r w:rsidR="00CF6265">
        <w:rPr>
          <w:snapToGrid w:val="0"/>
          <w:sz w:val="22"/>
          <w:szCs w:val="22"/>
        </w:rPr>
        <w:t xml:space="preserve">нием порядка, предусмотренного </w:t>
      </w:r>
      <w:r w:rsidR="00EA1B6B" w:rsidRPr="00412057">
        <w:rPr>
          <w:snapToGrid w:val="0"/>
          <w:sz w:val="22"/>
          <w:szCs w:val="22"/>
        </w:rPr>
        <w:t xml:space="preserve">п. 3.5. Договора), </w:t>
      </w:r>
      <w:r w:rsidR="00EA1B6B" w:rsidRPr="00412057">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71765">
        <w:rPr>
          <w:sz w:val="22"/>
        </w:rPr>
        <w:t>Российской Федерации</w:t>
      </w:r>
      <w:r w:rsidRPr="00B71765">
        <w:rPr>
          <w:sz w:val="20"/>
          <w:szCs w:val="22"/>
        </w:rPr>
        <w:t xml:space="preserve"> </w:t>
      </w:r>
      <w:r w:rsidRPr="00BC576E">
        <w:rPr>
          <w:sz w:val="22"/>
          <w:szCs w:val="22"/>
        </w:rPr>
        <w:t>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lastRenderedPageBreak/>
        <w:t>В случае не предоставления/предоставления не в полном объеме Поставщиком ор</w:t>
      </w:r>
      <w:r w:rsidR="00CF6265">
        <w:rPr>
          <w:sz w:val="22"/>
          <w:szCs w:val="22"/>
        </w:rPr>
        <w:t xml:space="preserve">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w:t>
      </w:r>
      <w:r w:rsidR="00721FAF">
        <w:rPr>
          <w:color w:val="000000" w:themeColor="text1"/>
          <w:sz w:val="22"/>
          <w:szCs w:val="22"/>
        </w:rPr>
        <w:t xml:space="preserve"> </w:t>
      </w:r>
      <w:r w:rsidR="00721FAF" w:rsidRPr="00092D6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CF6265" w:rsidRDefault="00313F21" w:rsidP="00CF6265">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sidRPr="00CF6265">
        <w:rPr>
          <w:b/>
          <w:color w:val="000000" w:themeColor="text1"/>
          <w:sz w:val="22"/>
          <w:szCs w:val="22"/>
        </w:rPr>
        <w:t>4.4.1.</w:t>
      </w:r>
      <w:r>
        <w:rPr>
          <w:color w:val="000000" w:themeColor="text1"/>
          <w:sz w:val="22"/>
          <w:szCs w:val="22"/>
        </w:rPr>
        <w:t xml:space="preserve">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sidRPr="00CF6265">
        <w:rPr>
          <w:b/>
          <w:sz w:val="22"/>
          <w:szCs w:val="22"/>
        </w:rPr>
        <w:t>4.4.2.</w:t>
      </w:r>
      <w:r>
        <w:rPr>
          <w:sz w:val="22"/>
          <w:szCs w:val="22"/>
        </w:rPr>
        <w:t xml:space="preserve">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w:t>
      </w:r>
      <w:r w:rsidR="00CF6265">
        <w:rPr>
          <w:color w:val="000000" w:themeColor="text1"/>
          <w:sz w:val="22"/>
          <w:szCs w:val="22"/>
        </w:rPr>
        <w:t xml:space="preserve">ыполненными с момента списания </w:t>
      </w:r>
      <w:r w:rsidRPr="00D969AD">
        <w:rPr>
          <w:color w:val="000000" w:themeColor="text1"/>
          <w:sz w:val="22"/>
          <w:szCs w:val="22"/>
        </w:rPr>
        <w:t>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lastRenderedPageBreak/>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7A253D">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CF626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CF6265" w:rsidRPr="00CF6265">
        <w:rPr>
          <w:color w:val="000000" w:themeColor="text1"/>
          <w:sz w:val="22"/>
          <w:szCs w:val="22"/>
        </w:rPr>
        <w:t>.</w:t>
      </w:r>
      <w:r w:rsidR="00AC4EE3" w:rsidRPr="00A343CB">
        <w:rPr>
          <w:color w:val="000000" w:themeColor="text1"/>
          <w:sz w:val="22"/>
          <w:szCs w:val="22"/>
        </w:rPr>
        <w:t xml:space="preserve"> 2.3</w:t>
      </w:r>
      <w:r w:rsidR="00CF6265">
        <w:rPr>
          <w:color w:val="000000" w:themeColor="text1"/>
          <w:sz w:val="22"/>
          <w:szCs w:val="22"/>
        </w:rPr>
        <w:t xml:space="preserve"> </w:t>
      </w:r>
      <w:r w:rsidR="00AC4EE3" w:rsidRPr="00A343CB">
        <w:rPr>
          <w:color w:val="000000" w:themeColor="text1"/>
          <w:sz w:val="22"/>
          <w:szCs w:val="22"/>
        </w:rPr>
        <w:t>-</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lastRenderedPageBreak/>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r w:rsidRPr="00412057">
        <w:rPr>
          <w:i/>
          <w:sz w:val="22"/>
          <w:szCs w:val="22"/>
        </w:rPr>
        <w:t>(пункт указывается в случае поставки технически сложного Товара).</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письмен</w:t>
      </w:r>
      <w:r w:rsidR="00CF6265">
        <w:rPr>
          <w:color w:val="000000" w:themeColor="text1"/>
          <w:sz w:val="22"/>
          <w:szCs w:val="22"/>
        </w:rPr>
        <w:t xml:space="preserve">ного требования </w:t>
      </w:r>
      <w:r w:rsidR="002E3942" w:rsidRPr="006466FE">
        <w:rPr>
          <w:color w:val="000000" w:themeColor="text1"/>
          <w:sz w:val="22"/>
          <w:szCs w:val="22"/>
        </w:rPr>
        <w:t xml:space="preserve">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В случае обнаружения Товара ненадлежащего качества (или некомплектног</w:t>
      </w:r>
      <w:r w:rsidR="00CF6265">
        <w:rPr>
          <w:sz w:val="22"/>
          <w:szCs w:val="22"/>
        </w:rPr>
        <w:t xml:space="preserve">о товара), Поставщик обязуется </w:t>
      </w:r>
      <w:r w:rsidRPr="00412057">
        <w:rPr>
          <w:sz w:val="22"/>
          <w:szCs w:val="22"/>
        </w:rPr>
        <w:t xml:space="preserve">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w:t>
      </w:r>
      <w:r w:rsidR="00CF6265">
        <w:rPr>
          <w:sz w:val="22"/>
          <w:szCs w:val="22"/>
        </w:rPr>
        <w:t>, организационно-правовой формы</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76F66">
        <w:rPr>
          <w:color w:val="000000" w:themeColor="text1"/>
          <w:sz w:val="22"/>
          <w:szCs w:val="22"/>
        </w:rPr>
        <w:t>Вся служебная переписка, которая ведется во исполнение Договора, отправленная посредством электронной почты по следующим адресам: Поставщик</w:t>
      </w:r>
      <w:r w:rsidR="00976F66" w:rsidRPr="00976F66">
        <w:rPr>
          <w:sz w:val="22"/>
          <w:szCs w:val="22"/>
          <w:u w:val="single"/>
        </w:rPr>
        <w:t xml:space="preserve"> ________________</w:t>
      </w:r>
      <w:r w:rsidRPr="00976F66">
        <w:rPr>
          <w:color w:val="000000" w:themeColor="text1"/>
          <w:sz w:val="22"/>
          <w:szCs w:val="22"/>
        </w:rPr>
        <w:t xml:space="preserve">, Покупатель </w:t>
      </w:r>
      <w:bookmarkStart w:id="1" w:name="_GoBack"/>
      <w:r w:rsidR="00B71765" w:rsidRPr="00533A5F">
        <w:rPr>
          <w:sz w:val="22"/>
          <w:szCs w:val="22"/>
          <w:u w:val="single"/>
          <w:lang w:val="en-US"/>
        </w:rPr>
        <w:t>e</w:t>
      </w:r>
      <w:r w:rsidR="00B71765" w:rsidRPr="00533A5F">
        <w:rPr>
          <w:sz w:val="22"/>
          <w:szCs w:val="22"/>
          <w:u w:val="single"/>
        </w:rPr>
        <w:t>.</w:t>
      </w:r>
      <w:r w:rsidR="00B71765" w:rsidRPr="00533A5F">
        <w:rPr>
          <w:sz w:val="22"/>
          <w:szCs w:val="22"/>
          <w:u w:val="single"/>
          <w:lang w:val="en-US"/>
        </w:rPr>
        <w:t>belokon</w:t>
      </w:r>
      <w:r w:rsidR="00B71765" w:rsidRPr="00533A5F">
        <w:rPr>
          <w:sz w:val="22"/>
          <w:szCs w:val="22"/>
          <w:u w:val="single"/>
        </w:rPr>
        <w:t>@</w:t>
      </w:r>
      <w:r w:rsidR="00B71765" w:rsidRPr="00533A5F">
        <w:rPr>
          <w:sz w:val="22"/>
          <w:szCs w:val="22"/>
          <w:u w:val="single"/>
          <w:lang w:val="en-US"/>
        </w:rPr>
        <w:t>karousel</w:t>
      </w:r>
      <w:r w:rsidR="00B71765" w:rsidRPr="00533A5F">
        <w:rPr>
          <w:sz w:val="22"/>
          <w:szCs w:val="22"/>
          <w:u w:val="single"/>
        </w:rPr>
        <w:t>.</w:t>
      </w:r>
      <w:r w:rsidR="00B71765" w:rsidRPr="00533A5F">
        <w:rPr>
          <w:sz w:val="22"/>
          <w:szCs w:val="22"/>
          <w:u w:val="single"/>
          <w:lang w:val="en-US"/>
        </w:rPr>
        <w:t>ru</w:t>
      </w:r>
      <w:bookmarkEnd w:id="1"/>
      <w:r w:rsidRPr="00976F66">
        <w:rPr>
          <w:color w:val="000000" w:themeColor="text1"/>
          <w:sz w:val="22"/>
          <w:szCs w:val="22"/>
        </w:rPr>
        <w:t>, считается действительной, если она оформлена надлежащим образом с указанием контактного лица и наличием</w:t>
      </w:r>
      <w:r w:rsidRPr="00EC09C2">
        <w:rPr>
          <w:color w:val="000000" w:themeColor="text1"/>
          <w:sz w:val="22"/>
          <w:szCs w:val="22"/>
        </w:rPr>
        <w:t xml:space="preserve">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w:t>
      </w:r>
      <w:r w:rsidRPr="00EC09C2">
        <w:rPr>
          <w:color w:val="000000" w:themeColor="text1"/>
          <w:sz w:val="22"/>
          <w:szCs w:val="22"/>
        </w:rPr>
        <w:lastRenderedPageBreak/>
        <w:t>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CF6265">
        <w:rPr>
          <w:color w:val="000000" w:themeColor="text1"/>
          <w:sz w:val="22"/>
          <w:szCs w:val="22"/>
        </w:rPr>
        <w:t xml:space="preserve"> и отправлены</w:t>
      </w:r>
      <w:r w:rsidR="006208A6" w:rsidRPr="00EC09C2">
        <w:rPr>
          <w:color w:val="000000" w:themeColor="text1"/>
          <w:sz w:val="22"/>
          <w:szCs w:val="22"/>
        </w:rPr>
        <w:t xml:space="preserve">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CF6265">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CF6265">
            <w:pPr>
              <w:snapToGrid w:val="0"/>
              <w:rPr>
                <w:b/>
                <w:color w:val="000000" w:themeColor="text1"/>
              </w:rPr>
            </w:pPr>
            <w:r w:rsidRPr="006466FE">
              <w:rPr>
                <w:b/>
                <w:color w:val="000000" w:themeColor="text1"/>
                <w:sz w:val="22"/>
                <w:szCs w:val="22"/>
              </w:rPr>
              <w:t>НАО «Красная поляна»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CF6265">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CF6265">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2" w:history="1">
              <w:r w:rsidRPr="008B313F">
                <w:rPr>
                  <w:rStyle w:val="af9"/>
                  <w:rFonts w:eastAsia="Calibri"/>
                  <w:sz w:val="22"/>
                  <w:szCs w:val="22"/>
                  <w:lang w:eastAsia="en-US"/>
                </w:rPr>
                <w:t>info@karousel.ru</w:t>
              </w:r>
            </w:hyperlink>
          </w:p>
          <w:p w:rsidR="00113014" w:rsidRDefault="00113014" w:rsidP="00CF6265">
            <w:pPr>
              <w:tabs>
                <w:tab w:val="left" w:pos="284"/>
                <w:tab w:val="left" w:pos="8364"/>
              </w:tabs>
              <w:rPr>
                <w:color w:val="000000" w:themeColor="text1"/>
              </w:rPr>
            </w:pPr>
          </w:p>
          <w:p w:rsidR="00113014" w:rsidRDefault="00CF6265" w:rsidP="00CF6265">
            <w:pPr>
              <w:tabs>
                <w:tab w:val="left" w:pos="284"/>
                <w:tab w:val="left" w:pos="8364"/>
              </w:tabs>
              <w:rPr>
                <w:b/>
                <w:color w:val="000000" w:themeColor="text1"/>
              </w:rPr>
            </w:pPr>
            <w:r>
              <w:rPr>
                <w:sz w:val="22"/>
                <w:szCs w:val="22"/>
              </w:rPr>
              <w:t>Первый заместитель</w:t>
            </w:r>
            <w:r w:rsidRPr="00B24FE2">
              <w:rPr>
                <w:sz w:val="22"/>
                <w:szCs w:val="22"/>
              </w:rPr>
              <w:t xml:space="preserve"> генерального директора </w:t>
            </w:r>
          </w:p>
          <w:p w:rsidR="00113014" w:rsidRDefault="00113014" w:rsidP="00CF6265">
            <w:pPr>
              <w:tabs>
                <w:tab w:val="left" w:pos="284"/>
                <w:tab w:val="left" w:pos="8364"/>
              </w:tabs>
              <w:rPr>
                <w:b/>
                <w:color w:val="000000" w:themeColor="text1"/>
              </w:rPr>
            </w:pPr>
          </w:p>
          <w:p w:rsidR="00113014" w:rsidRPr="006466FE" w:rsidRDefault="00113014" w:rsidP="00CF6265">
            <w:pPr>
              <w:tabs>
                <w:tab w:val="left" w:pos="284"/>
                <w:tab w:val="left" w:pos="8364"/>
              </w:tabs>
              <w:rPr>
                <w:b/>
                <w:color w:val="000000" w:themeColor="text1"/>
              </w:rPr>
            </w:pPr>
          </w:p>
          <w:p w:rsidR="00113014" w:rsidRPr="00CF6265" w:rsidRDefault="00113014" w:rsidP="00CF6265">
            <w:pPr>
              <w:tabs>
                <w:tab w:val="left" w:pos="284"/>
                <w:tab w:val="left" w:pos="8364"/>
              </w:tabs>
              <w:rPr>
                <w:color w:val="000000" w:themeColor="text1"/>
              </w:rPr>
            </w:pPr>
            <w:r w:rsidRPr="006466FE">
              <w:rPr>
                <w:b/>
                <w:color w:val="000000" w:themeColor="text1"/>
                <w:sz w:val="22"/>
                <w:szCs w:val="22"/>
              </w:rPr>
              <w:t>________________/</w:t>
            </w:r>
            <w:r w:rsidR="00CF6265">
              <w:rPr>
                <w:b/>
                <w:color w:val="000000" w:themeColor="text1"/>
                <w:sz w:val="22"/>
                <w:szCs w:val="22"/>
              </w:rPr>
              <w:t xml:space="preserve"> </w:t>
            </w:r>
            <w:r w:rsidR="00CF6265" w:rsidRPr="00B24FE2">
              <w:rPr>
                <w:sz w:val="22"/>
                <w:szCs w:val="22"/>
              </w:rPr>
              <w:t>А.В.</w:t>
            </w:r>
            <w:r w:rsidR="00CF6265">
              <w:rPr>
                <w:sz w:val="22"/>
                <w:szCs w:val="22"/>
              </w:rPr>
              <w:t xml:space="preserve"> Немцов</w:t>
            </w:r>
            <w:r w:rsidR="00CF6265" w:rsidRPr="00B24FE2">
              <w:rPr>
                <w:sz w:val="22"/>
                <w:szCs w:val="22"/>
              </w:rPr>
              <w:t xml:space="preserve"> </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3"/>
          <w:headerReference w:type="first" r:id="rId14"/>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CF6265">
        <w:rPr>
          <w:rFonts w:ascii="Times New Roman" w:hAnsi="Times New Roman"/>
          <w:color w:val="000000" w:themeColor="text1"/>
        </w:rPr>
        <w:t>________</w:t>
      </w:r>
      <w:r w:rsidRPr="006466FE">
        <w:rPr>
          <w:rFonts w:ascii="Times New Roman" w:hAnsi="Times New Roman"/>
          <w:color w:val="000000" w:themeColor="text1"/>
        </w:rPr>
        <w:t>»</w:t>
      </w:r>
      <w:r w:rsidR="00CF6265">
        <w:rPr>
          <w:rFonts w:ascii="Times New Roman" w:hAnsi="Times New Roman"/>
          <w:color w:val="000000" w:themeColor="text1"/>
        </w:rPr>
        <w:t xml:space="preserve"> </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E66203" w:rsidRDefault="00E66203" w:rsidP="00502327">
      <w:pPr>
        <w:tabs>
          <w:tab w:val="left" w:pos="284"/>
        </w:tabs>
        <w:rPr>
          <w:b/>
          <w:color w:val="000000" w:themeColor="text1"/>
          <w:sz w:val="22"/>
          <w:szCs w:val="22"/>
        </w:rPr>
      </w:pPr>
    </w:p>
    <w:tbl>
      <w:tblPr>
        <w:tblW w:w="1487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81"/>
        <w:gridCol w:w="1875"/>
        <w:gridCol w:w="708"/>
        <w:gridCol w:w="1134"/>
        <w:gridCol w:w="1843"/>
        <w:gridCol w:w="4806"/>
        <w:gridCol w:w="1417"/>
        <w:gridCol w:w="1276"/>
        <w:gridCol w:w="1134"/>
      </w:tblGrid>
      <w:tr w:rsidR="00B71765" w:rsidRPr="00B71765" w:rsidTr="00AF6D83">
        <w:trPr>
          <w:trHeight w:val="1551"/>
          <w:jc w:val="center"/>
        </w:trPr>
        <w:tc>
          <w:tcPr>
            <w:tcW w:w="681"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 п/п</w:t>
            </w:r>
          </w:p>
        </w:tc>
        <w:tc>
          <w:tcPr>
            <w:tcW w:w="1875"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Наименование</w:t>
            </w:r>
          </w:p>
          <w:p w:rsidR="00B71765" w:rsidRPr="00B71765" w:rsidRDefault="00B71765" w:rsidP="001B7761">
            <w:pPr>
              <w:widowControl w:val="0"/>
              <w:autoSpaceDE w:val="0"/>
              <w:autoSpaceDN w:val="0"/>
              <w:adjustRightInd w:val="0"/>
              <w:jc w:val="center"/>
              <w:rPr>
                <w:b/>
                <w:sz w:val="22"/>
                <w:szCs w:val="22"/>
              </w:rPr>
            </w:pPr>
            <w:r w:rsidRPr="00B71765">
              <w:rPr>
                <w:b/>
                <w:sz w:val="22"/>
                <w:szCs w:val="22"/>
              </w:rPr>
              <w:t>товара</w:t>
            </w:r>
          </w:p>
        </w:tc>
        <w:tc>
          <w:tcPr>
            <w:tcW w:w="708" w:type="dxa"/>
            <w:vAlign w:val="center"/>
          </w:tcPr>
          <w:p w:rsidR="00B71765" w:rsidRPr="00B71765" w:rsidRDefault="00B71765" w:rsidP="001B7761">
            <w:pPr>
              <w:widowControl w:val="0"/>
              <w:autoSpaceDE w:val="0"/>
              <w:autoSpaceDN w:val="0"/>
              <w:adjustRightInd w:val="0"/>
              <w:jc w:val="center"/>
              <w:rPr>
                <w:b/>
                <w:sz w:val="22"/>
                <w:szCs w:val="22"/>
              </w:rPr>
            </w:pPr>
          </w:p>
          <w:p w:rsidR="00B71765" w:rsidRPr="00B71765" w:rsidRDefault="00B71765" w:rsidP="001B7761">
            <w:pPr>
              <w:widowControl w:val="0"/>
              <w:autoSpaceDE w:val="0"/>
              <w:autoSpaceDN w:val="0"/>
              <w:adjustRightInd w:val="0"/>
              <w:jc w:val="center"/>
              <w:rPr>
                <w:b/>
                <w:sz w:val="22"/>
                <w:szCs w:val="22"/>
              </w:rPr>
            </w:pPr>
            <w:r w:rsidRPr="00B71765">
              <w:rPr>
                <w:b/>
                <w:sz w:val="22"/>
                <w:szCs w:val="22"/>
              </w:rPr>
              <w:t>Ед.</w:t>
            </w:r>
          </w:p>
          <w:p w:rsidR="00B71765" w:rsidRPr="00B71765" w:rsidRDefault="00B71765" w:rsidP="001B7761">
            <w:pPr>
              <w:widowControl w:val="0"/>
              <w:autoSpaceDE w:val="0"/>
              <w:autoSpaceDN w:val="0"/>
              <w:adjustRightInd w:val="0"/>
              <w:jc w:val="center"/>
              <w:rPr>
                <w:b/>
                <w:sz w:val="22"/>
                <w:szCs w:val="22"/>
              </w:rPr>
            </w:pPr>
            <w:r w:rsidRPr="00B71765">
              <w:rPr>
                <w:b/>
                <w:sz w:val="22"/>
                <w:szCs w:val="22"/>
              </w:rPr>
              <w:t>изм.</w:t>
            </w:r>
          </w:p>
        </w:tc>
        <w:tc>
          <w:tcPr>
            <w:tcW w:w="1134"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Кол-во комплектность</w:t>
            </w:r>
          </w:p>
        </w:tc>
        <w:tc>
          <w:tcPr>
            <w:tcW w:w="1843" w:type="dxa"/>
            <w:vAlign w:val="center"/>
          </w:tcPr>
          <w:p w:rsidR="00B71765" w:rsidRPr="00B71765" w:rsidRDefault="00B71765" w:rsidP="001B7761">
            <w:pPr>
              <w:widowControl w:val="0"/>
              <w:autoSpaceDE w:val="0"/>
              <w:autoSpaceDN w:val="0"/>
              <w:adjustRightInd w:val="0"/>
              <w:jc w:val="center"/>
              <w:rPr>
                <w:b/>
                <w:sz w:val="22"/>
                <w:szCs w:val="22"/>
              </w:rPr>
            </w:pPr>
            <w:r w:rsidRPr="00B71765">
              <w:rPr>
                <w:b/>
                <w:sz w:val="22"/>
                <w:szCs w:val="22"/>
              </w:rPr>
              <w:t>Марка товара, товарный знак</w:t>
            </w:r>
          </w:p>
        </w:tc>
        <w:tc>
          <w:tcPr>
            <w:tcW w:w="4806" w:type="dxa"/>
            <w:vAlign w:val="center"/>
          </w:tcPr>
          <w:p w:rsidR="00B71765" w:rsidRPr="00B71765" w:rsidRDefault="00B71765" w:rsidP="001B7761">
            <w:pPr>
              <w:widowControl w:val="0"/>
              <w:autoSpaceDE w:val="0"/>
              <w:autoSpaceDN w:val="0"/>
              <w:adjustRightInd w:val="0"/>
              <w:jc w:val="center"/>
              <w:rPr>
                <w:sz w:val="22"/>
                <w:szCs w:val="22"/>
              </w:rPr>
            </w:pPr>
            <w:r w:rsidRPr="00B71765">
              <w:rPr>
                <w:b/>
                <w:sz w:val="22"/>
                <w:szCs w:val="22"/>
              </w:rPr>
              <w:t>Технические, качественные и функциональные параметры товара и материала, потребительские свойства товара</w:t>
            </w:r>
          </w:p>
        </w:tc>
        <w:tc>
          <w:tcPr>
            <w:tcW w:w="1417" w:type="dxa"/>
            <w:vAlign w:val="center"/>
          </w:tcPr>
          <w:p w:rsidR="00B71765" w:rsidRPr="00B71765" w:rsidRDefault="00B71765" w:rsidP="001B7761">
            <w:pPr>
              <w:jc w:val="center"/>
              <w:rPr>
                <w:b/>
                <w:color w:val="000000" w:themeColor="text1"/>
                <w:sz w:val="22"/>
                <w:szCs w:val="22"/>
              </w:rPr>
            </w:pPr>
            <w:r w:rsidRPr="00B71765">
              <w:rPr>
                <w:b/>
                <w:color w:val="000000" w:themeColor="text1"/>
                <w:sz w:val="22"/>
                <w:szCs w:val="22"/>
              </w:rPr>
              <w:t>Цена за ед., (с НДС 18%), руб.</w:t>
            </w:r>
          </w:p>
        </w:tc>
        <w:tc>
          <w:tcPr>
            <w:tcW w:w="1276" w:type="dxa"/>
            <w:vAlign w:val="center"/>
          </w:tcPr>
          <w:p w:rsidR="00B71765" w:rsidRPr="00B71765" w:rsidRDefault="00B71765" w:rsidP="001B7761">
            <w:pPr>
              <w:jc w:val="center"/>
              <w:rPr>
                <w:b/>
                <w:color w:val="000000" w:themeColor="text1"/>
                <w:sz w:val="22"/>
                <w:szCs w:val="22"/>
              </w:rPr>
            </w:pPr>
            <w:r w:rsidRPr="00B71765">
              <w:rPr>
                <w:b/>
                <w:color w:val="000000" w:themeColor="text1"/>
                <w:sz w:val="22"/>
                <w:szCs w:val="22"/>
              </w:rPr>
              <w:t>Стоимость (с НДС), руб.</w:t>
            </w:r>
          </w:p>
        </w:tc>
        <w:tc>
          <w:tcPr>
            <w:tcW w:w="1134" w:type="dxa"/>
            <w:vAlign w:val="center"/>
          </w:tcPr>
          <w:p w:rsidR="00B71765" w:rsidRPr="00B71765" w:rsidRDefault="00B71765" w:rsidP="001B7761">
            <w:pPr>
              <w:spacing w:after="160" w:line="259" w:lineRule="auto"/>
              <w:jc w:val="center"/>
              <w:rPr>
                <w:b/>
                <w:color w:val="000000" w:themeColor="text1"/>
                <w:sz w:val="22"/>
                <w:szCs w:val="22"/>
              </w:rPr>
            </w:pPr>
            <w:r w:rsidRPr="00B71765">
              <w:rPr>
                <w:b/>
                <w:color w:val="000000" w:themeColor="text1"/>
                <w:sz w:val="22"/>
                <w:szCs w:val="22"/>
              </w:rPr>
              <w:t>(НДС 18%, руб.)</w:t>
            </w:r>
          </w:p>
        </w:tc>
      </w:tr>
      <w:tr w:rsidR="00B71765" w:rsidRPr="00B71765" w:rsidTr="00AF6D83">
        <w:trPr>
          <w:trHeight w:val="213"/>
          <w:jc w:val="center"/>
        </w:trPr>
        <w:tc>
          <w:tcPr>
            <w:tcW w:w="681"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1</w:t>
            </w:r>
          </w:p>
        </w:tc>
        <w:tc>
          <w:tcPr>
            <w:tcW w:w="1875"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2</w:t>
            </w:r>
          </w:p>
        </w:tc>
        <w:tc>
          <w:tcPr>
            <w:tcW w:w="708"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3</w:t>
            </w:r>
          </w:p>
        </w:tc>
        <w:tc>
          <w:tcPr>
            <w:tcW w:w="1134"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4</w:t>
            </w:r>
          </w:p>
        </w:tc>
        <w:tc>
          <w:tcPr>
            <w:tcW w:w="1843" w:type="dxa"/>
            <w:tcBorders>
              <w:top w:val="nil"/>
            </w:tcBorders>
          </w:tcPr>
          <w:p w:rsidR="00B71765" w:rsidRPr="00B71765" w:rsidRDefault="00B71765" w:rsidP="001B7761">
            <w:pPr>
              <w:widowControl w:val="0"/>
              <w:autoSpaceDE w:val="0"/>
              <w:autoSpaceDN w:val="0"/>
              <w:adjustRightInd w:val="0"/>
              <w:jc w:val="center"/>
              <w:rPr>
                <w:sz w:val="22"/>
                <w:szCs w:val="22"/>
              </w:rPr>
            </w:pPr>
            <w:r w:rsidRPr="00B71765">
              <w:rPr>
                <w:sz w:val="22"/>
                <w:szCs w:val="22"/>
              </w:rPr>
              <w:t>5</w:t>
            </w:r>
          </w:p>
        </w:tc>
        <w:tc>
          <w:tcPr>
            <w:tcW w:w="4806"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6</w:t>
            </w:r>
          </w:p>
        </w:tc>
        <w:tc>
          <w:tcPr>
            <w:tcW w:w="1417"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7</w:t>
            </w:r>
          </w:p>
        </w:tc>
        <w:tc>
          <w:tcPr>
            <w:tcW w:w="1276"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8</w:t>
            </w:r>
          </w:p>
        </w:tc>
        <w:tc>
          <w:tcPr>
            <w:tcW w:w="1134" w:type="dxa"/>
            <w:tcBorders>
              <w:top w:val="nil"/>
            </w:tcBorders>
          </w:tcPr>
          <w:p w:rsidR="00B71765" w:rsidRPr="00B71765" w:rsidRDefault="00B71765" w:rsidP="001B7761">
            <w:pPr>
              <w:widowControl w:val="0"/>
              <w:autoSpaceDE w:val="0"/>
              <w:autoSpaceDN w:val="0"/>
              <w:adjustRightInd w:val="0"/>
              <w:jc w:val="center"/>
              <w:rPr>
                <w:sz w:val="22"/>
                <w:szCs w:val="22"/>
              </w:rPr>
            </w:pPr>
            <w:r>
              <w:rPr>
                <w:sz w:val="22"/>
                <w:szCs w:val="22"/>
              </w:rPr>
              <w:t>9</w:t>
            </w:r>
          </w:p>
        </w:tc>
      </w:tr>
      <w:tr w:rsidR="00B71765" w:rsidRPr="005827DF" w:rsidTr="00AF6D83">
        <w:trPr>
          <w:trHeight w:val="174"/>
          <w:jc w:val="center"/>
        </w:trPr>
        <w:tc>
          <w:tcPr>
            <w:tcW w:w="681" w:type="dxa"/>
            <w:tcBorders>
              <w:top w:val="nil"/>
            </w:tcBorders>
            <w:vAlign w:val="center"/>
          </w:tcPr>
          <w:p w:rsidR="00B71765" w:rsidRPr="00B71765" w:rsidRDefault="00B71765" w:rsidP="00B71765">
            <w:pPr>
              <w:widowControl w:val="0"/>
              <w:autoSpaceDE w:val="0"/>
              <w:autoSpaceDN w:val="0"/>
              <w:adjustRightInd w:val="0"/>
              <w:jc w:val="center"/>
              <w:rPr>
                <w:sz w:val="22"/>
                <w:szCs w:val="22"/>
              </w:rPr>
            </w:pPr>
            <w:r w:rsidRPr="00B71765">
              <w:rPr>
                <w:sz w:val="22"/>
                <w:szCs w:val="22"/>
              </w:rPr>
              <w:t>1</w:t>
            </w:r>
          </w:p>
        </w:tc>
        <w:tc>
          <w:tcPr>
            <w:tcW w:w="1875" w:type="dxa"/>
            <w:tcBorders>
              <w:top w:val="nil"/>
            </w:tcBorders>
          </w:tcPr>
          <w:p w:rsidR="00B71765" w:rsidRPr="00B71765" w:rsidRDefault="00B71765" w:rsidP="00B71765">
            <w:pPr>
              <w:jc w:val="center"/>
              <w:rPr>
                <w:sz w:val="22"/>
                <w:szCs w:val="22"/>
              </w:rPr>
            </w:pPr>
            <w:r w:rsidRPr="00B71765">
              <w:rPr>
                <w:rFonts w:eastAsiaTheme="minorHAnsi"/>
                <w:sz w:val="22"/>
                <w:szCs w:val="22"/>
                <w:lang w:eastAsia="en-US"/>
              </w:rPr>
              <w:t>О</w:t>
            </w:r>
            <w:r w:rsidRPr="00B71765">
              <w:rPr>
                <w:rFonts w:eastAsiaTheme="minorHAnsi"/>
                <w:sz w:val="22"/>
                <w:szCs w:val="22"/>
                <w:lang w:val="en-US" w:eastAsia="en-US"/>
              </w:rPr>
              <w:t>перативная память</w:t>
            </w:r>
          </w:p>
        </w:tc>
        <w:tc>
          <w:tcPr>
            <w:tcW w:w="708" w:type="dxa"/>
            <w:tcBorders>
              <w:top w:val="nil"/>
            </w:tcBorders>
            <w:vAlign w:val="center"/>
          </w:tcPr>
          <w:p w:rsidR="00B71765" w:rsidRPr="00B71765" w:rsidRDefault="00B71765" w:rsidP="00B71765">
            <w:pPr>
              <w:jc w:val="center"/>
              <w:rPr>
                <w:sz w:val="22"/>
                <w:szCs w:val="22"/>
              </w:rPr>
            </w:pPr>
            <w:r w:rsidRPr="00B71765">
              <w:rPr>
                <w:sz w:val="22"/>
                <w:szCs w:val="22"/>
              </w:rPr>
              <w:t>шт.</w:t>
            </w:r>
          </w:p>
        </w:tc>
        <w:tc>
          <w:tcPr>
            <w:tcW w:w="1134" w:type="dxa"/>
            <w:tcBorders>
              <w:top w:val="nil"/>
            </w:tcBorders>
          </w:tcPr>
          <w:p w:rsidR="00B71765" w:rsidRPr="00B71765" w:rsidRDefault="00B71765" w:rsidP="00B71765">
            <w:pPr>
              <w:jc w:val="center"/>
              <w:rPr>
                <w:sz w:val="22"/>
                <w:szCs w:val="22"/>
              </w:rPr>
            </w:pPr>
            <w:r w:rsidRPr="00B71765">
              <w:rPr>
                <w:sz w:val="22"/>
                <w:szCs w:val="22"/>
              </w:rPr>
              <w:t>10</w:t>
            </w:r>
          </w:p>
        </w:tc>
        <w:tc>
          <w:tcPr>
            <w:tcW w:w="1843" w:type="dxa"/>
            <w:tcBorders>
              <w:top w:val="nil"/>
            </w:tcBorders>
          </w:tcPr>
          <w:p w:rsidR="00B71765" w:rsidRPr="00B71765" w:rsidRDefault="00A66197" w:rsidP="00B71765">
            <w:pPr>
              <w:pStyle w:val="ConsPlusNonformat"/>
              <w:jc w:val="center"/>
              <w:rPr>
                <w:rFonts w:ascii="Times New Roman" w:hAnsi="Times New Roman" w:cs="Times New Roman"/>
                <w:color w:val="000000" w:themeColor="text1"/>
                <w:sz w:val="22"/>
                <w:szCs w:val="22"/>
                <w:shd w:val="clear" w:color="auto" w:fill="FFFFFF"/>
              </w:rPr>
            </w:pPr>
            <w:hyperlink r:id="rId15" w:tgtFrame="_blank" w:history="1">
              <w:r w:rsidR="00B71765" w:rsidRPr="00B71765">
                <w:rPr>
                  <w:rFonts w:ascii="Times New Roman" w:hAnsi="Times New Roman" w:cs="Times New Roman"/>
                  <w:color w:val="000000" w:themeColor="text1"/>
                  <w:sz w:val="22"/>
                  <w:szCs w:val="22"/>
                  <w:shd w:val="clear" w:color="auto" w:fill="FFFFFF"/>
                </w:rPr>
                <w:t>Hewlett-Packard</w:t>
              </w:r>
            </w:hyperlink>
          </w:p>
          <w:p w:rsidR="00B71765" w:rsidRPr="00B71765" w:rsidRDefault="00B71765" w:rsidP="00B71765">
            <w:pPr>
              <w:widowControl w:val="0"/>
              <w:autoSpaceDE w:val="0"/>
              <w:autoSpaceDN w:val="0"/>
              <w:adjustRightInd w:val="0"/>
              <w:jc w:val="center"/>
              <w:rPr>
                <w:sz w:val="22"/>
                <w:szCs w:val="22"/>
              </w:rPr>
            </w:pPr>
          </w:p>
        </w:tc>
        <w:tc>
          <w:tcPr>
            <w:tcW w:w="4806" w:type="dxa"/>
            <w:tcBorders>
              <w:top w:val="nil"/>
            </w:tcBorders>
          </w:tcPr>
          <w:p w:rsidR="00B71765" w:rsidRPr="00B71765" w:rsidRDefault="00B71765" w:rsidP="00B71765">
            <w:pPr>
              <w:widowControl w:val="0"/>
              <w:autoSpaceDE w:val="0"/>
              <w:autoSpaceDN w:val="0"/>
              <w:adjustRightInd w:val="0"/>
              <w:jc w:val="center"/>
              <w:rPr>
                <w:sz w:val="22"/>
                <w:szCs w:val="22"/>
                <w:lang w:val="en-US"/>
              </w:rPr>
            </w:pPr>
            <w:r w:rsidRPr="00B71765">
              <w:rPr>
                <w:color w:val="000000" w:themeColor="text1"/>
                <w:sz w:val="22"/>
                <w:szCs w:val="22"/>
                <w:lang w:val="en-US"/>
              </w:rPr>
              <w:t>Память HP 32GB (1x32) Quad rank x4 PC3L-10600L (ddR-1333) Load reduced cas-9 Low Voltage memory</w:t>
            </w:r>
          </w:p>
        </w:tc>
        <w:tc>
          <w:tcPr>
            <w:tcW w:w="1417" w:type="dxa"/>
            <w:tcBorders>
              <w:top w:val="nil"/>
            </w:tcBorders>
          </w:tcPr>
          <w:p w:rsidR="00B71765" w:rsidRPr="00B71765" w:rsidRDefault="00B71765" w:rsidP="00B71765">
            <w:pPr>
              <w:widowControl w:val="0"/>
              <w:autoSpaceDE w:val="0"/>
              <w:autoSpaceDN w:val="0"/>
              <w:adjustRightInd w:val="0"/>
              <w:jc w:val="center"/>
              <w:rPr>
                <w:sz w:val="22"/>
                <w:szCs w:val="22"/>
                <w:lang w:val="en-US"/>
              </w:rPr>
            </w:pPr>
          </w:p>
        </w:tc>
        <w:tc>
          <w:tcPr>
            <w:tcW w:w="1276" w:type="dxa"/>
            <w:tcBorders>
              <w:top w:val="nil"/>
            </w:tcBorders>
          </w:tcPr>
          <w:p w:rsidR="00B71765" w:rsidRPr="00B71765" w:rsidRDefault="00B71765" w:rsidP="00B71765">
            <w:pPr>
              <w:widowControl w:val="0"/>
              <w:autoSpaceDE w:val="0"/>
              <w:autoSpaceDN w:val="0"/>
              <w:adjustRightInd w:val="0"/>
              <w:jc w:val="center"/>
              <w:rPr>
                <w:sz w:val="22"/>
                <w:szCs w:val="22"/>
                <w:lang w:val="en-US"/>
              </w:rPr>
            </w:pPr>
          </w:p>
        </w:tc>
        <w:tc>
          <w:tcPr>
            <w:tcW w:w="1134" w:type="dxa"/>
            <w:tcBorders>
              <w:top w:val="nil"/>
            </w:tcBorders>
          </w:tcPr>
          <w:p w:rsidR="00B71765" w:rsidRPr="00B71765" w:rsidRDefault="00B71765" w:rsidP="00B71765">
            <w:pPr>
              <w:widowControl w:val="0"/>
              <w:autoSpaceDE w:val="0"/>
              <w:autoSpaceDN w:val="0"/>
              <w:adjustRightInd w:val="0"/>
              <w:jc w:val="center"/>
              <w:rPr>
                <w:sz w:val="22"/>
                <w:szCs w:val="22"/>
                <w:lang w:val="en-US"/>
              </w:rPr>
            </w:pPr>
          </w:p>
        </w:tc>
      </w:tr>
      <w:tr w:rsidR="00A53BF5" w:rsidRPr="00B71765" w:rsidTr="00AF6D83">
        <w:trPr>
          <w:trHeight w:val="240"/>
          <w:jc w:val="center"/>
        </w:trPr>
        <w:tc>
          <w:tcPr>
            <w:tcW w:w="681" w:type="dxa"/>
            <w:tcBorders>
              <w:top w:val="single" w:sz="4" w:space="0" w:color="auto"/>
              <w:bottom w:val="single" w:sz="4" w:space="0" w:color="auto"/>
            </w:tcBorders>
            <w:vAlign w:val="center"/>
          </w:tcPr>
          <w:p w:rsidR="00B71765" w:rsidRPr="00B71765" w:rsidRDefault="00B71765" w:rsidP="00B71765">
            <w:pPr>
              <w:widowControl w:val="0"/>
              <w:autoSpaceDE w:val="0"/>
              <w:autoSpaceDN w:val="0"/>
              <w:adjustRightInd w:val="0"/>
              <w:jc w:val="center"/>
              <w:rPr>
                <w:sz w:val="22"/>
                <w:szCs w:val="22"/>
              </w:rPr>
            </w:pPr>
            <w:r w:rsidRPr="00B71765">
              <w:rPr>
                <w:sz w:val="22"/>
                <w:szCs w:val="22"/>
              </w:rPr>
              <w:t>2</w:t>
            </w:r>
          </w:p>
        </w:tc>
        <w:tc>
          <w:tcPr>
            <w:tcW w:w="1875" w:type="dxa"/>
            <w:tcBorders>
              <w:top w:val="single" w:sz="4" w:space="0" w:color="auto"/>
              <w:bottom w:val="single" w:sz="4" w:space="0" w:color="auto"/>
            </w:tcBorders>
          </w:tcPr>
          <w:p w:rsidR="00B71765" w:rsidRPr="00B71765" w:rsidRDefault="00B71765" w:rsidP="00B71765">
            <w:pPr>
              <w:jc w:val="center"/>
              <w:rPr>
                <w:sz w:val="22"/>
                <w:szCs w:val="22"/>
              </w:rPr>
            </w:pPr>
            <w:r w:rsidRPr="00B71765">
              <w:rPr>
                <w:rFonts w:eastAsiaTheme="minorHAnsi"/>
                <w:sz w:val="22"/>
                <w:szCs w:val="22"/>
                <w:lang w:eastAsia="en-US"/>
              </w:rPr>
              <w:t>Жесткий диск</w:t>
            </w:r>
          </w:p>
        </w:tc>
        <w:tc>
          <w:tcPr>
            <w:tcW w:w="708" w:type="dxa"/>
            <w:tcBorders>
              <w:top w:val="single" w:sz="4" w:space="0" w:color="auto"/>
              <w:bottom w:val="single" w:sz="4" w:space="0" w:color="auto"/>
            </w:tcBorders>
            <w:vAlign w:val="center"/>
          </w:tcPr>
          <w:p w:rsidR="00B71765" w:rsidRPr="00B71765" w:rsidRDefault="00B71765" w:rsidP="00B71765">
            <w:pPr>
              <w:jc w:val="center"/>
              <w:rPr>
                <w:sz w:val="22"/>
                <w:szCs w:val="22"/>
              </w:rPr>
            </w:pPr>
            <w:r w:rsidRPr="00B71765">
              <w:rPr>
                <w:sz w:val="22"/>
                <w:szCs w:val="22"/>
              </w:rPr>
              <w:t>шт.</w:t>
            </w:r>
          </w:p>
        </w:tc>
        <w:tc>
          <w:tcPr>
            <w:tcW w:w="1134" w:type="dxa"/>
            <w:tcBorders>
              <w:top w:val="single" w:sz="4" w:space="0" w:color="auto"/>
              <w:bottom w:val="single" w:sz="4" w:space="0" w:color="auto"/>
            </w:tcBorders>
          </w:tcPr>
          <w:p w:rsidR="00B71765" w:rsidRPr="00B71765" w:rsidRDefault="00B71765" w:rsidP="00B71765">
            <w:pPr>
              <w:jc w:val="center"/>
              <w:rPr>
                <w:sz w:val="22"/>
                <w:szCs w:val="22"/>
              </w:rPr>
            </w:pPr>
            <w:r w:rsidRPr="00B71765">
              <w:rPr>
                <w:sz w:val="22"/>
                <w:szCs w:val="22"/>
              </w:rPr>
              <w:t xml:space="preserve">16  </w:t>
            </w:r>
          </w:p>
        </w:tc>
        <w:tc>
          <w:tcPr>
            <w:tcW w:w="1843" w:type="dxa"/>
            <w:tcBorders>
              <w:top w:val="single" w:sz="4" w:space="0" w:color="auto"/>
              <w:bottom w:val="single" w:sz="4" w:space="0" w:color="auto"/>
            </w:tcBorders>
          </w:tcPr>
          <w:p w:rsidR="00B71765" w:rsidRPr="00B71765" w:rsidRDefault="00A66197" w:rsidP="00B71765">
            <w:pPr>
              <w:pStyle w:val="ConsPlusNonformat"/>
              <w:jc w:val="center"/>
              <w:rPr>
                <w:rFonts w:ascii="Times New Roman" w:hAnsi="Times New Roman" w:cs="Times New Roman"/>
                <w:color w:val="000000" w:themeColor="text1"/>
                <w:sz w:val="22"/>
                <w:szCs w:val="22"/>
                <w:shd w:val="clear" w:color="auto" w:fill="FFFFFF"/>
              </w:rPr>
            </w:pPr>
            <w:hyperlink r:id="rId16" w:tgtFrame="_blank" w:history="1">
              <w:r w:rsidR="00B71765" w:rsidRPr="00B71765">
                <w:rPr>
                  <w:rFonts w:ascii="Times New Roman" w:hAnsi="Times New Roman" w:cs="Times New Roman"/>
                  <w:color w:val="000000" w:themeColor="text1"/>
                  <w:sz w:val="22"/>
                  <w:szCs w:val="22"/>
                  <w:shd w:val="clear" w:color="auto" w:fill="FFFFFF"/>
                </w:rPr>
                <w:t>Hewlett-Packard</w:t>
              </w:r>
            </w:hyperlink>
          </w:p>
          <w:p w:rsidR="00B71765" w:rsidRPr="00B71765" w:rsidRDefault="00B71765" w:rsidP="00B71765">
            <w:pPr>
              <w:widowControl w:val="0"/>
              <w:autoSpaceDE w:val="0"/>
              <w:autoSpaceDN w:val="0"/>
              <w:adjustRightInd w:val="0"/>
              <w:jc w:val="center"/>
              <w:rPr>
                <w:sz w:val="22"/>
                <w:szCs w:val="22"/>
              </w:rPr>
            </w:pPr>
            <w:r w:rsidRPr="00B71765">
              <w:rPr>
                <w:color w:val="000000" w:themeColor="text1"/>
                <w:sz w:val="22"/>
                <w:szCs w:val="22"/>
              </w:rPr>
              <w:br/>
            </w:r>
          </w:p>
        </w:tc>
        <w:tc>
          <w:tcPr>
            <w:tcW w:w="4806" w:type="dxa"/>
            <w:tcBorders>
              <w:top w:val="single" w:sz="4" w:space="0" w:color="auto"/>
              <w:bottom w:val="single" w:sz="4" w:space="0" w:color="auto"/>
            </w:tcBorders>
          </w:tcPr>
          <w:p w:rsidR="00B71765" w:rsidRPr="00B71765" w:rsidRDefault="00B71765" w:rsidP="00B71765">
            <w:pPr>
              <w:widowControl w:val="0"/>
              <w:autoSpaceDE w:val="0"/>
              <w:autoSpaceDN w:val="0"/>
              <w:adjustRightInd w:val="0"/>
              <w:jc w:val="center"/>
              <w:rPr>
                <w:sz w:val="22"/>
                <w:szCs w:val="22"/>
              </w:rPr>
            </w:pPr>
            <w:r w:rsidRPr="00B71765">
              <w:rPr>
                <w:color w:val="000000" w:themeColor="text1"/>
                <w:sz w:val="22"/>
                <w:szCs w:val="22"/>
              </w:rPr>
              <w:t xml:space="preserve">Жесткий диск </w:t>
            </w:r>
            <w:r w:rsidRPr="00B71765">
              <w:rPr>
                <w:color w:val="000000" w:themeColor="text1"/>
                <w:sz w:val="22"/>
                <w:szCs w:val="22"/>
                <w:lang w:val="en-US"/>
              </w:rPr>
              <w:t>HP</w:t>
            </w:r>
            <w:r w:rsidRPr="00B71765">
              <w:rPr>
                <w:color w:val="000000" w:themeColor="text1"/>
                <w:sz w:val="22"/>
                <w:szCs w:val="22"/>
              </w:rPr>
              <w:t xml:space="preserve"> 600</w:t>
            </w:r>
            <w:r w:rsidRPr="00B71765">
              <w:rPr>
                <w:color w:val="000000" w:themeColor="text1"/>
                <w:sz w:val="22"/>
                <w:szCs w:val="22"/>
                <w:lang w:val="en-US"/>
              </w:rPr>
              <w:t>Gb</w:t>
            </w:r>
            <w:r w:rsidRPr="00B71765">
              <w:rPr>
                <w:color w:val="000000" w:themeColor="text1"/>
                <w:sz w:val="22"/>
                <w:szCs w:val="22"/>
              </w:rPr>
              <w:t xml:space="preserve"> 3.5 “</w:t>
            </w:r>
            <w:r w:rsidRPr="00B71765">
              <w:rPr>
                <w:color w:val="000000" w:themeColor="text1"/>
                <w:sz w:val="22"/>
                <w:szCs w:val="22"/>
                <w:lang w:val="en-US"/>
              </w:rPr>
              <w:t>HP</w:t>
            </w:r>
            <w:r w:rsidRPr="00B71765">
              <w:rPr>
                <w:color w:val="000000" w:themeColor="text1"/>
                <w:sz w:val="22"/>
                <w:szCs w:val="22"/>
              </w:rPr>
              <w:t xml:space="preserve"> </w:t>
            </w:r>
            <w:r w:rsidRPr="00B71765">
              <w:rPr>
                <w:color w:val="000000" w:themeColor="text1"/>
                <w:sz w:val="22"/>
                <w:szCs w:val="22"/>
                <w:lang w:val="en-US"/>
              </w:rPr>
              <w:t>SAS</w:t>
            </w:r>
            <w:r w:rsidRPr="00B71765">
              <w:rPr>
                <w:color w:val="000000" w:themeColor="text1"/>
                <w:sz w:val="22"/>
                <w:szCs w:val="22"/>
              </w:rPr>
              <w:t xml:space="preserve"> 15000</w:t>
            </w:r>
            <w:r w:rsidRPr="00B71765">
              <w:rPr>
                <w:color w:val="000000" w:themeColor="text1"/>
                <w:sz w:val="22"/>
                <w:szCs w:val="22"/>
                <w:lang w:val="en-US"/>
              </w:rPr>
              <w:t>rpm</w:t>
            </w:r>
            <w:r w:rsidRPr="00B71765">
              <w:rPr>
                <w:color w:val="000000" w:themeColor="text1"/>
                <w:sz w:val="22"/>
                <w:szCs w:val="22"/>
              </w:rPr>
              <w:t xml:space="preserve"> </w:t>
            </w:r>
            <w:r w:rsidRPr="00B71765">
              <w:rPr>
                <w:color w:val="000000" w:themeColor="text1"/>
                <w:sz w:val="22"/>
                <w:szCs w:val="22"/>
                <w:lang w:val="en-US"/>
              </w:rPr>
              <w:t>Gb</w:t>
            </w:r>
            <w:r w:rsidRPr="00B71765">
              <w:rPr>
                <w:color w:val="000000" w:themeColor="text1"/>
                <w:sz w:val="22"/>
                <w:szCs w:val="22"/>
              </w:rPr>
              <w:t>/</w:t>
            </w:r>
            <w:r w:rsidRPr="00B71765">
              <w:rPr>
                <w:color w:val="000000" w:themeColor="text1"/>
                <w:sz w:val="22"/>
                <w:szCs w:val="22"/>
                <w:lang w:val="en-US"/>
              </w:rPr>
              <w:t>Sec</w:t>
            </w:r>
            <w:r w:rsidRPr="00B71765">
              <w:rPr>
                <w:color w:val="000000" w:themeColor="text1"/>
                <w:sz w:val="22"/>
                <w:szCs w:val="22"/>
              </w:rPr>
              <w:t xml:space="preserve"> </w:t>
            </w:r>
            <w:r w:rsidRPr="00B71765">
              <w:rPr>
                <w:color w:val="000000" w:themeColor="text1"/>
                <w:sz w:val="22"/>
                <w:szCs w:val="22"/>
                <w:lang w:val="en-US"/>
              </w:rPr>
              <w:t>hot</w:t>
            </w:r>
            <w:r w:rsidRPr="00B71765">
              <w:rPr>
                <w:color w:val="000000" w:themeColor="text1"/>
                <w:sz w:val="22"/>
                <w:szCs w:val="22"/>
              </w:rPr>
              <w:t>-</w:t>
            </w:r>
            <w:r w:rsidRPr="00B71765">
              <w:rPr>
                <w:color w:val="000000" w:themeColor="text1"/>
                <w:sz w:val="22"/>
                <w:szCs w:val="22"/>
                <w:lang w:val="en-US"/>
              </w:rPr>
              <w:t>plug</w:t>
            </w:r>
            <w:r w:rsidRPr="00B71765">
              <w:rPr>
                <w:color w:val="000000" w:themeColor="text1"/>
                <w:sz w:val="22"/>
                <w:szCs w:val="22"/>
              </w:rPr>
              <w:t xml:space="preserve"> </w:t>
            </w:r>
            <w:r w:rsidRPr="00B71765">
              <w:rPr>
                <w:color w:val="000000" w:themeColor="text1"/>
                <w:sz w:val="22"/>
                <w:szCs w:val="22"/>
                <w:lang w:val="en-US"/>
              </w:rPr>
              <w:t>DP</w:t>
            </w:r>
          </w:p>
        </w:tc>
        <w:tc>
          <w:tcPr>
            <w:tcW w:w="1417" w:type="dxa"/>
            <w:tcBorders>
              <w:top w:val="single" w:sz="4" w:space="0" w:color="auto"/>
              <w:bottom w:val="single" w:sz="4" w:space="0" w:color="auto"/>
            </w:tcBorders>
          </w:tcPr>
          <w:p w:rsidR="00B71765" w:rsidRPr="00B71765" w:rsidRDefault="00B71765" w:rsidP="00B71765">
            <w:pPr>
              <w:widowControl w:val="0"/>
              <w:autoSpaceDE w:val="0"/>
              <w:autoSpaceDN w:val="0"/>
              <w:adjustRightInd w:val="0"/>
              <w:jc w:val="center"/>
              <w:rPr>
                <w:sz w:val="22"/>
                <w:szCs w:val="22"/>
              </w:rPr>
            </w:pPr>
          </w:p>
        </w:tc>
        <w:tc>
          <w:tcPr>
            <w:tcW w:w="1276" w:type="dxa"/>
            <w:tcBorders>
              <w:top w:val="single" w:sz="4" w:space="0" w:color="auto"/>
              <w:bottom w:val="single" w:sz="4" w:space="0" w:color="auto"/>
            </w:tcBorders>
          </w:tcPr>
          <w:p w:rsidR="00B71765" w:rsidRPr="00B71765" w:rsidRDefault="00B71765" w:rsidP="00B71765">
            <w:pPr>
              <w:widowControl w:val="0"/>
              <w:autoSpaceDE w:val="0"/>
              <w:autoSpaceDN w:val="0"/>
              <w:adjustRightInd w:val="0"/>
              <w:jc w:val="center"/>
              <w:rPr>
                <w:sz w:val="22"/>
                <w:szCs w:val="22"/>
              </w:rPr>
            </w:pPr>
          </w:p>
        </w:tc>
        <w:tc>
          <w:tcPr>
            <w:tcW w:w="1134" w:type="dxa"/>
            <w:tcBorders>
              <w:top w:val="single" w:sz="4" w:space="0" w:color="auto"/>
              <w:bottom w:val="single" w:sz="4" w:space="0" w:color="auto"/>
            </w:tcBorders>
          </w:tcPr>
          <w:p w:rsidR="00B71765" w:rsidRPr="00B71765" w:rsidRDefault="00B71765" w:rsidP="00B71765">
            <w:pPr>
              <w:widowControl w:val="0"/>
              <w:autoSpaceDE w:val="0"/>
              <w:autoSpaceDN w:val="0"/>
              <w:adjustRightInd w:val="0"/>
              <w:jc w:val="center"/>
              <w:rPr>
                <w:sz w:val="22"/>
                <w:szCs w:val="22"/>
              </w:rPr>
            </w:pPr>
          </w:p>
        </w:tc>
      </w:tr>
      <w:tr w:rsidR="00B71765" w:rsidRPr="00B71765" w:rsidTr="00AF6D83">
        <w:trPr>
          <w:trHeight w:val="240"/>
          <w:jc w:val="center"/>
        </w:trPr>
        <w:tc>
          <w:tcPr>
            <w:tcW w:w="12464" w:type="dxa"/>
            <w:gridSpan w:val="7"/>
            <w:tcBorders>
              <w:top w:val="single" w:sz="4" w:space="0" w:color="auto"/>
            </w:tcBorders>
            <w:vAlign w:val="center"/>
          </w:tcPr>
          <w:p w:rsidR="00B71765" w:rsidRPr="00AF6D83" w:rsidRDefault="00AF6D83" w:rsidP="00AF6D83">
            <w:pPr>
              <w:widowControl w:val="0"/>
              <w:autoSpaceDE w:val="0"/>
              <w:autoSpaceDN w:val="0"/>
              <w:adjustRightInd w:val="0"/>
              <w:jc w:val="right"/>
              <w:rPr>
                <w:b/>
                <w:sz w:val="22"/>
                <w:szCs w:val="22"/>
              </w:rPr>
            </w:pPr>
            <w:r w:rsidRPr="00AF6D83">
              <w:rPr>
                <w:b/>
                <w:sz w:val="22"/>
                <w:szCs w:val="22"/>
              </w:rPr>
              <w:t>ИТОГО:</w:t>
            </w:r>
          </w:p>
        </w:tc>
        <w:tc>
          <w:tcPr>
            <w:tcW w:w="1276" w:type="dxa"/>
            <w:tcBorders>
              <w:top w:val="single" w:sz="4" w:space="0" w:color="auto"/>
            </w:tcBorders>
          </w:tcPr>
          <w:p w:rsidR="00B71765" w:rsidRPr="00B71765" w:rsidRDefault="00B71765" w:rsidP="00B71765">
            <w:pPr>
              <w:widowControl w:val="0"/>
              <w:autoSpaceDE w:val="0"/>
              <w:autoSpaceDN w:val="0"/>
              <w:adjustRightInd w:val="0"/>
              <w:jc w:val="center"/>
              <w:rPr>
                <w:sz w:val="22"/>
                <w:szCs w:val="22"/>
              </w:rPr>
            </w:pPr>
          </w:p>
        </w:tc>
        <w:tc>
          <w:tcPr>
            <w:tcW w:w="1134" w:type="dxa"/>
            <w:tcBorders>
              <w:top w:val="single" w:sz="4" w:space="0" w:color="auto"/>
            </w:tcBorders>
          </w:tcPr>
          <w:p w:rsidR="00B71765" w:rsidRPr="00B71765" w:rsidRDefault="00B71765" w:rsidP="00B71765">
            <w:pPr>
              <w:widowControl w:val="0"/>
              <w:autoSpaceDE w:val="0"/>
              <w:autoSpaceDN w:val="0"/>
              <w:adjustRightInd w:val="0"/>
              <w:jc w:val="center"/>
              <w:rPr>
                <w:sz w:val="22"/>
                <w:szCs w:val="22"/>
              </w:rPr>
            </w:pPr>
          </w:p>
        </w:tc>
      </w:tr>
    </w:tbl>
    <w:p w:rsidR="00E66203" w:rsidRPr="001B7761" w:rsidRDefault="00E66203" w:rsidP="00293E1C">
      <w:pPr>
        <w:tabs>
          <w:tab w:val="left" w:pos="284"/>
        </w:tabs>
        <w:ind w:firstLine="425"/>
        <w:jc w:val="center"/>
        <w:rPr>
          <w:b/>
          <w:color w:val="000000" w:themeColor="text1"/>
          <w:sz w:val="22"/>
          <w:szCs w:val="22"/>
        </w:rPr>
      </w:pPr>
    </w:p>
    <w:p w:rsidR="00916E38" w:rsidRPr="00916E38" w:rsidRDefault="00916E38" w:rsidP="00916E38">
      <w:pPr>
        <w:pStyle w:val="aff2"/>
        <w:rPr>
          <w:rFonts w:ascii="Times New Roman" w:hAnsi="Times New Roman"/>
        </w:rPr>
      </w:pPr>
      <w:r w:rsidRPr="00916E38">
        <w:rPr>
          <w:rFonts w:ascii="Times New Roman" w:hAnsi="Times New Roman"/>
        </w:rPr>
        <w:t>Поставляемые запчасти должны являться новыми, ранее не использованными (все составные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916E38" w:rsidRDefault="00916E38" w:rsidP="00916E38">
      <w:pPr>
        <w:pStyle w:val="aff2"/>
        <w:rPr>
          <w:rFonts w:ascii="Times New Roman" w:eastAsia="Times New Roman" w:hAnsi="Times New Roman"/>
          <w:bCs/>
          <w:noProof/>
        </w:rPr>
      </w:pPr>
      <w:r w:rsidRPr="00916E38">
        <w:rPr>
          <w:rFonts w:ascii="Times New Roman" w:hAnsi="Times New Roman"/>
        </w:rPr>
        <w:t xml:space="preserve"> </w:t>
      </w:r>
      <w:r w:rsidRPr="00916E38">
        <w:rPr>
          <w:rFonts w:ascii="Times New Roman" w:eastAsia="Times New Roman" w:hAnsi="Times New Roman"/>
          <w:bCs/>
          <w:noProof/>
        </w:rPr>
        <w:t>Все поставляемые запачасти,  которые передаются, должны иметь гарантию производителя не менее 12 (двенадцати) календарных месяцев.</w:t>
      </w:r>
    </w:p>
    <w:p w:rsidR="00916E38" w:rsidRPr="00916E38" w:rsidRDefault="00916E38" w:rsidP="00916E38">
      <w:pPr>
        <w:pStyle w:val="aff2"/>
        <w:rPr>
          <w:rFonts w:ascii="Times New Roman" w:hAnsi="Times New Roman"/>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A53BF5">
        <w:trPr>
          <w:trHeight w:val="2361"/>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CF6265" w:rsidRPr="00F56E14" w:rsidRDefault="00CF6265" w:rsidP="00CF6265">
            <w:pPr>
              <w:tabs>
                <w:tab w:val="left" w:pos="284"/>
                <w:tab w:val="left" w:pos="8364"/>
              </w:tabs>
            </w:pPr>
            <w:r w:rsidRPr="00F56E14">
              <w:rPr>
                <w:sz w:val="22"/>
                <w:szCs w:val="22"/>
              </w:rPr>
              <w:t xml:space="preserve">Первый заместитель генерального директора </w:t>
            </w:r>
          </w:p>
          <w:p w:rsidR="00CF6265" w:rsidRPr="008947F9" w:rsidRDefault="00CF6265" w:rsidP="00CF6265">
            <w:pPr>
              <w:tabs>
                <w:tab w:val="left" w:pos="284"/>
                <w:tab w:val="left" w:pos="8364"/>
              </w:tabs>
              <w:rPr>
                <w:b/>
              </w:rPr>
            </w:pPr>
          </w:p>
          <w:p w:rsidR="00CF6265" w:rsidRPr="008947F9" w:rsidRDefault="00CF6265" w:rsidP="00CF6265">
            <w:pPr>
              <w:tabs>
                <w:tab w:val="left" w:pos="284"/>
                <w:tab w:val="left" w:pos="8364"/>
              </w:tabs>
              <w:rPr>
                <w:b/>
              </w:rPr>
            </w:pPr>
          </w:p>
          <w:p w:rsidR="00CF6265" w:rsidRPr="00F64275" w:rsidRDefault="00CF6265" w:rsidP="00CF6265">
            <w:pPr>
              <w:tabs>
                <w:tab w:val="left" w:pos="284"/>
                <w:tab w:val="left" w:pos="8364"/>
              </w:tabs>
            </w:pPr>
            <w:r w:rsidRPr="00F64275">
              <w:rPr>
                <w:sz w:val="22"/>
                <w:szCs w:val="22"/>
              </w:rPr>
              <w:t>________________/А.В. Немцов</w:t>
            </w:r>
            <w:r>
              <w:rPr>
                <w:sz w:val="22"/>
                <w:szCs w:val="22"/>
              </w:rPr>
              <w:t xml:space="preserve"> </w:t>
            </w:r>
            <w:r w:rsidRPr="00F64275">
              <w:rPr>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F6265">
      <w:pgSz w:w="16840" w:h="11907" w:orient="landscape" w:code="9"/>
      <w:pgMar w:top="851" w:right="1134" w:bottom="709"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197" w:rsidRDefault="00A66197">
      <w:r>
        <w:separator/>
      </w:r>
    </w:p>
  </w:endnote>
  <w:endnote w:type="continuationSeparator" w:id="0">
    <w:p w:rsidR="00A66197" w:rsidRDefault="00A6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EB52A3" w:rsidRDefault="00EB52A3" w:rsidP="00264B22">
        <w:pPr>
          <w:pStyle w:val="af5"/>
          <w:jc w:val="right"/>
        </w:pPr>
        <w:r>
          <w:fldChar w:fldCharType="begin"/>
        </w:r>
        <w:r>
          <w:instrText>PAGE   \* MERGEFORMAT</w:instrText>
        </w:r>
        <w:r>
          <w:fldChar w:fldCharType="separate"/>
        </w:r>
        <w:r w:rsidR="00533A5F">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197" w:rsidRDefault="00A66197">
      <w:r>
        <w:separator/>
      </w:r>
    </w:p>
  </w:footnote>
  <w:footnote w:type="continuationSeparator" w:id="0">
    <w:p w:rsidR="00A66197" w:rsidRDefault="00A661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A3" w:rsidRDefault="00EB52A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EB52A3" w:rsidRDefault="00EB52A3">
    <w:pPr>
      <w:pStyle w:val="a3"/>
    </w:pPr>
  </w:p>
  <w:p w:rsidR="00EB52A3" w:rsidRDefault="00EB52A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15:restartNumberingAfterBreak="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D6658"/>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84F8C"/>
    <w:rsid w:val="001916FB"/>
    <w:rsid w:val="00191AF6"/>
    <w:rsid w:val="001952EB"/>
    <w:rsid w:val="001A6A78"/>
    <w:rsid w:val="001B05C6"/>
    <w:rsid w:val="001B1D5D"/>
    <w:rsid w:val="001B3775"/>
    <w:rsid w:val="001B6A67"/>
    <w:rsid w:val="001B7761"/>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12AF"/>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7DD"/>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323F"/>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327"/>
    <w:rsid w:val="00502B42"/>
    <w:rsid w:val="00503566"/>
    <w:rsid w:val="00504313"/>
    <w:rsid w:val="00517878"/>
    <w:rsid w:val="00532866"/>
    <w:rsid w:val="00533A5F"/>
    <w:rsid w:val="005359C3"/>
    <w:rsid w:val="00540AE3"/>
    <w:rsid w:val="005414F9"/>
    <w:rsid w:val="00542074"/>
    <w:rsid w:val="00550B18"/>
    <w:rsid w:val="005827DF"/>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3437F"/>
    <w:rsid w:val="006418BF"/>
    <w:rsid w:val="006420E7"/>
    <w:rsid w:val="0064243C"/>
    <w:rsid w:val="00643711"/>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A253D"/>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50"/>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16E38"/>
    <w:rsid w:val="00933450"/>
    <w:rsid w:val="00934929"/>
    <w:rsid w:val="00936469"/>
    <w:rsid w:val="00940360"/>
    <w:rsid w:val="00954CBA"/>
    <w:rsid w:val="009568FE"/>
    <w:rsid w:val="00960E9E"/>
    <w:rsid w:val="009612E9"/>
    <w:rsid w:val="00962A12"/>
    <w:rsid w:val="009718FD"/>
    <w:rsid w:val="00971D4B"/>
    <w:rsid w:val="00975379"/>
    <w:rsid w:val="00976F66"/>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14E0"/>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0BF9"/>
    <w:rsid w:val="00A32EBC"/>
    <w:rsid w:val="00A343CB"/>
    <w:rsid w:val="00A43C0E"/>
    <w:rsid w:val="00A47FD1"/>
    <w:rsid w:val="00A53BF5"/>
    <w:rsid w:val="00A54FC4"/>
    <w:rsid w:val="00A57F61"/>
    <w:rsid w:val="00A6074D"/>
    <w:rsid w:val="00A62210"/>
    <w:rsid w:val="00A65424"/>
    <w:rsid w:val="00A66197"/>
    <w:rsid w:val="00A679B6"/>
    <w:rsid w:val="00A807FD"/>
    <w:rsid w:val="00A8129C"/>
    <w:rsid w:val="00A84BBB"/>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AF6D83"/>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1765"/>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265"/>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2CF4"/>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2A3"/>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55B"/>
    <w:rsid w:val="00FA586F"/>
    <w:rsid w:val="00FA7F8B"/>
    <w:rsid w:val="00FB3A2C"/>
    <w:rsid w:val="00FB5C21"/>
    <w:rsid w:val="00FB5E7E"/>
    <w:rsid w:val="00FB61E8"/>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01B3"/>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89FED7-10E7-415F-BD7A-4310C270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48196222">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ru.wikipedia.org/wiki/Hewlett-Packar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https://ru.wikipedia.org/wiki/Hewlett-Packar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7D91C767-9324-45A6-8D4D-4BD189649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5293</Words>
  <Characters>30172</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7</cp:revision>
  <cp:lastPrinted>2016-04-25T15:52:00Z</cp:lastPrinted>
  <dcterms:created xsi:type="dcterms:W3CDTF">2017-08-10T13:22:00Z</dcterms:created>
  <dcterms:modified xsi:type="dcterms:W3CDTF">2017-08-15T13:19:00Z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