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2523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313E8C" w:rsidRPr="00313E8C">
        <w:t xml:space="preserve"> </w:t>
      </w:r>
      <w:r w:rsidR="00313E8C">
        <w:t>заместителя генерального директора по управлению гостиничным фондом, руководителя дирекции по управлению собственным номерным фондом</w:t>
      </w:r>
      <w:r w:rsidR="00313E8C" w:rsidRPr="001E3533">
        <w:rPr>
          <w:sz w:val="22"/>
          <w:szCs w:val="22"/>
        </w:rPr>
        <w:t xml:space="preserve"> </w:t>
      </w:r>
      <w:r w:rsidR="00313E8C">
        <w:rPr>
          <w:sz w:val="22"/>
          <w:szCs w:val="22"/>
        </w:rPr>
        <w:t>Попандопуло Василия Васильевича</w:t>
      </w:r>
      <w:r w:rsidR="00313E8C" w:rsidRPr="00115798">
        <w:rPr>
          <w:sz w:val="22"/>
          <w:szCs w:val="22"/>
        </w:rPr>
        <w:t>, действующего на основании Доверенности №</w:t>
      </w:r>
      <w:r w:rsidR="00313E8C">
        <w:rPr>
          <w:sz w:val="22"/>
          <w:szCs w:val="22"/>
        </w:rPr>
        <w:t>63</w:t>
      </w:r>
      <w:r w:rsidR="00313E8C" w:rsidRPr="00115798">
        <w:rPr>
          <w:sz w:val="22"/>
          <w:szCs w:val="22"/>
        </w:rPr>
        <w:t xml:space="preserve"> от </w:t>
      </w:r>
      <w:r w:rsidR="00313E8C">
        <w:rPr>
          <w:sz w:val="22"/>
          <w:szCs w:val="22"/>
        </w:rPr>
        <w:t>10</w:t>
      </w:r>
      <w:r w:rsidR="00313E8C" w:rsidRPr="00115798">
        <w:rPr>
          <w:sz w:val="22"/>
          <w:szCs w:val="22"/>
        </w:rPr>
        <w:t>.0</w:t>
      </w:r>
      <w:r w:rsidR="00313E8C">
        <w:rPr>
          <w:sz w:val="22"/>
          <w:szCs w:val="22"/>
        </w:rPr>
        <w:t>3</w:t>
      </w:r>
      <w:r w:rsidR="00313E8C" w:rsidRPr="00115798">
        <w:rPr>
          <w:sz w:val="22"/>
          <w:szCs w:val="22"/>
        </w:rPr>
        <w:t>.2017</w:t>
      </w:r>
      <w:r w:rsidRPr="009917A0">
        <w:rPr>
          <w:sz w:val="22"/>
          <w:szCs w:val="22"/>
        </w:rPr>
        <w:t>, с одной стороны</w:t>
      </w:r>
      <w:r w:rsidR="00606507" w:rsidRPr="009917A0">
        <w:rPr>
          <w:sz w:val="22"/>
          <w:szCs w:val="22"/>
        </w:rPr>
        <w:t xml:space="preserve">, и </w:t>
      </w:r>
      <w:proofErr w:type="gramEnd"/>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F25230">
        <w:rPr>
          <w:sz w:val="22"/>
          <w:szCs w:val="22"/>
        </w:rPr>
        <w:t xml:space="preserve"> техническую соль</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F25230" w:rsidRPr="005E6454">
        <w:rPr>
          <w:sz w:val="22"/>
          <w:szCs w:val="22"/>
        </w:rPr>
        <w:t xml:space="preserve">354392, РФ, Краснодарский край, г. Сочи, Адлерский р-н, с. </w:t>
      </w:r>
      <w:proofErr w:type="spellStart"/>
      <w:r w:rsidR="00F25230" w:rsidRPr="005E6454">
        <w:rPr>
          <w:sz w:val="22"/>
          <w:szCs w:val="22"/>
        </w:rPr>
        <w:t>Эстосадок</w:t>
      </w:r>
      <w:proofErr w:type="spellEnd"/>
      <w:r w:rsidR="00F25230">
        <w:rPr>
          <w:sz w:val="22"/>
          <w:szCs w:val="22"/>
        </w:rPr>
        <w:t xml:space="preserve">, северный склон хребта </w:t>
      </w:r>
      <w:proofErr w:type="spellStart"/>
      <w:r w:rsidR="00F25230">
        <w:rPr>
          <w:sz w:val="22"/>
          <w:szCs w:val="22"/>
        </w:rPr>
        <w:t>Аибга</w:t>
      </w:r>
      <w:proofErr w:type="spellEnd"/>
      <w:r w:rsidR="00F25230">
        <w:rPr>
          <w:sz w:val="22"/>
          <w:szCs w:val="22"/>
        </w:rPr>
        <w:t>, СТК «Горная Карусель»</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Pr>
          <w:sz w:val="22"/>
          <w:szCs w:val="22"/>
        </w:rPr>
        <w:t xml:space="preserve">- </w:t>
      </w:r>
      <w:r w:rsidRPr="00EA1B6B">
        <w:rPr>
          <w:sz w:val="22"/>
          <w:szCs w:val="22"/>
        </w:rPr>
        <w:t xml:space="preserve"> В срок не позднее «</w:t>
      </w:r>
      <w:r w:rsidR="00F25230">
        <w:rPr>
          <w:sz w:val="22"/>
          <w:szCs w:val="22"/>
        </w:rPr>
        <w:t>31</w:t>
      </w:r>
      <w:r w:rsidRPr="00EA1B6B">
        <w:rPr>
          <w:sz w:val="22"/>
          <w:szCs w:val="22"/>
        </w:rPr>
        <w:t>»</w:t>
      </w:r>
      <w:r w:rsidR="00F25230">
        <w:rPr>
          <w:sz w:val="22"/>
          <w:szCs w:val="22"/>
        </w:rPr>
        <w:t xml:space="preserve"> октября 2017г.</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 xml:space="preserve">Если в </w:t>
      </w:r>
      <w:proofErr w:type="gramStart"/>
      <w:r w:rsidRPr="00EF6B7F">
        <w:rPr>
          <w:snapToGrid w:val="0"/>
          <w:sz w:val="22"/>
          <w:szCs w:val="22"/>
        </w:rPr>
        <w:t>соответствии</w:t>
      </w:r>
      <w:proofErr w:type="gramEnd"/>
      <w:r w:rsidRPr="00EF6B7F">
        <w:rPr>
          <w:snapToGrid w:val="0"/>
          <w:sz w:val="22"/>
          <w:szCs w:val="22"/>
        </w:rPr>
        <w:t xml:space="preserve">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087914"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08791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087914">
        <w:rPr>
          <w:snapToGrid w:val="0"/>
          <w:sz w:val="22"/>
          <w:szCs w:val="22"/>
        </w:rPr>
        <w:t>60</w:t>
      </w:r>
      <w:r w:rsidRPr="00087914">
        <w:rPr>
          <w:snapToGrid w:val="0"/>
          <w:sz w:val="22"/>
          <w:szCs w:val="22"/>
        </w:rPr>
        <w:t xml:space="preserve">% от срока годности Товаров. </w:t>
      </w:r>
      <w:r w:rsidRPr="00087914">
        <w:rPr>
          <w:sz w:val="22"/>
          <w:szCs w:val="22"/>
        </w:rPr>
        <w:t xml:space="preserve">Товар должен быть новым, не находившимся ранее в эксплуатации. </w:t>
      </w:r>
      <w:proofErr w:type="gramStart"/>
      <w:r w:rsidRPr="00087914">
        <w:rPr>
          <w:snapToGrid w:val="0"/>
          <w:sz w:val="22"/>
          <w:szCs w:val="22"/>
        </w:rPr>
        <w:t>Покупатель вправе отказаться от приемки Товара, поставленного с нарушением данного условия</w:t>
      </w:r>
      <w:r w:rsidRPr="00087914">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087914">
        <w:rPr>
          <w:rFonts w:ascii="Times New Roman CYR" w:hAnsi="Times New Roman CYR" w:cs="Times New Roman CYR"/>
          <w:sz w:val="22"/>
          <w:szCs w:val="22"/>
        </w:rPr>
        <w:t xml:space="preserve"> </w:t>
      </w:r>
      <w:proofErr w:type="gramStart"/>
      <w:r w:rsidRPr="00087914">
        <w:rPr>
          <w:rFonts w:ascii="Times New Roman CYR" w:hAnsi="Times New Roman CYR" w:cs="Times New Roman CYR"/>
          <w:sz w:val="22"/>
          <w:szCs w:val="22"/>
        </w:rPr>
        <w:t>Договора)</w:t>
      </w:r>
      <w:r w:rsidR="00473180" w:rsidRPr="00087914">
        <w:rPr>
          <w:snapToGrid w:val="0"/>
          <w:sz w:val="22"/>
          <w:szCs w:val="22"/>
        </w:rPr>
        <w:t xml:space="preserve">, </w:t>
      </w:r>
      <w:r w:rsidRPr="00087914">
        <w:rPr>
          <w:snapToGrid w:val="0"/>
          <w:sz w:val="22"/>
          <w:szCs w:val="22"/>
        </w:rPr>
        <w:t>или потребовать замены такого Товара на условиях, предусмотренных п.6.5.</w:t>
      </w:r>
      <w:proofErr w:type="gramEnd"/>
      <w:r w:rsidRPr="00087914">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4A0248">
        <w:rPr>
          <w:color w:val="000000" w:themeColor="text1"/>
          <w:sz w:val="22"/>
          <w:szCs w:val="22"/>
        </w:rPr>
        <w:t>Договоре</w:t>
      </w:r>
      <w:proofErr w:type="gramEnd"/>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913541">
        <w:rPr>
          <w:color w:val="000000" w:themeColor="text1"/>
          <w:sz w:val="22"/>
          <w:szCs w:val="22"/>
        </w:rPr>
        <w:t>Покупателя.</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F2523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F25230" w:rsidRPr="00F25230">
        <w:rPr>
          <w:rStyle w:val="af9"/>
          <w:rFonts w:eastAsia="Calibri"/>
          <w:sz w:val="22"/>
          <w:szCs w:val="22"/>
          <w:lang w:eastAsia="en-US"/>
        </w:rPr>
        <w:t>d.ganyukov@karousel.ru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A94F3A">
        <w:rPr>
          <w:color w:val="000000" w:themeColor="text1"/>
          <w:sz w:val="22"/>
          <w:szCs w:val="22"/>
        </w:rPr>
        <w:t>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w:t>
      </w:r>
      <w:proofErr w:type="gramStart"/>
      <w:r w:rsidR="00116E1C" w:rsidRPr="00116E1C">
        <w:rPr>
          <w:color w:val="000000" w:themeColor="text1"/>
          <w:sz w:val="22"/>
          <w:szCs w:val="22"/>
        </w:rPr>
        <w:t>размере</w:t>
      </w:r>
      <w:proofErr w:type="gramEnd"/>
      <w:r w:rsidR="00116E1C" w:rsidRPr="00116E1C">
        <w:rPr>
          <w:color w:val="000000" w:themeColor="text1"/>
          <w:sz w:val="22"/>
          <w:szCs w:val="22"/>
        </w:rPr>
        <w:t xml:space="preserve"> </w:t>
      </w:r>
      <w:r w:rsidR="00087914">
        <w:rPr>
          <w:color w:val="000000" w:themeColor="text1"/>
          <w:sz w:val="22"/>
          <w:szCs w:val="22"/>
        </w:rPr>
        <w:t>5</w:t>
      </w:r>
      <w:r w:rsidR="00116E1C" w:rsidRPr="00116E1C">
        <w:rPr>
          <w:color w:val="000000" w:themeColor="text1"/>
          <w:sz w:val="22"/>
          <w:szCs w:val="22"/>
        </w:rPr>
        <w:t>0% (</w:t>
      </w:r>
      <w:r w:rsidR="00087914">
        <w:rPr>
          <w:color w:val="000000" w:themeColor="text1"/>
          <w:sz w:val="22"/>
          <w:szCs w:val="22"/>
        </w:rPr>
        <w:t>Пятьдесят</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087914">
        <w:rPr>
          <w:sz w:val="22"/>
          <w:szCs w:val="22"/>
        </w:rPr>
        <w:t>5</w:t>
      </w:r>
      <w:r w:rsidR="00116E1C" w:rsidRPr="00116E1C">
        <w:rPr>
          <w:sz w:val="22"/>
          <w:szCs w:val="22"/>
        </w:rPr>
        <w:t>0% (</w:t>
      </w:r>
      <w:r w:rsidR="00087914">
        <w:rPr>
          <w:sz w:val="22"/>
          <w:szCs w:val="22"/>
        </w:rPr>
        <w:t>Пятьдесят</w:t>
      </w:r>
      <w:r w:rsidR="00116E1C" w:rsidRPr="00116E1C">
        <w:rPr>
          <w:sz w:val="22"/>
          <w:szCs w:val="22"/>
        </w:rPr>
        <w:t xml:space="preserve">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w:t>
      </w:r>
      <w:proofErr w:type="gramStart"/>
      <w:r w:rsidR="00D969AD" w:rsidRPr="00D969AD">
        <w:rPr>
          <w:color w:val="000000" w:themeColor="text1"/>
          <w:sz w:val="22"/>
          <w:szCs w:val="22"/>
        </w:rPr>
        <w:t>размере</w:t>
      </w:r>
      <w:proofErr w:type="gramEnd"/>
      <w:r w:rsidR="00D969AD" w:rsidRPr="00D969AD">
        <w:rPr>
          <w:color w:val="000000" w:themeColor="text1"/>
          <w:sz w:val="22"/>
          <w:szCs w:val="22"/>
        </w:rPr>
        <w:t xml:space="preserve">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 xml:space="preserve">.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 xml:space="preserve">Приемка поставленного Товара производится Покупателем </w:t>
      </w:r>
      <w:proofErr w:type="gramStart"/>
      <w:r w:rsidRPr="006466FE">
        <w:rPr>
          <w:snapToGrid w:val="0"/>
          <w:color w:val="000000" w:themeColor="text1"/>
          <w:sz w:val="22"/>
          <w:szCs w:val="22"/>
          <w:lang w:eastAsia="en-US"/>
        </w:rPr>
        <w:t>по</w:t>
      </w:r>
      <w:proofErr w:type="gramEnd"/>
      <w:r w:rsidRPr="006466FE">
        <w:rPr>
          <w:snapToGrid w:val="0"/>
          <w:color w:val="000000" w:themeColor="text1"/>
          <w:sz w:val="22"/>
          <w:szCs w:val="22"/>
          <w:lang w:eastAsia="en-US"/>
        </w:rPr>
        <w:t xml:space="preserve">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roofErr w:type="gramEnd"/>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313E8C">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w:t>
      </w:r>
      <w:r w:rsidRPr="006466FE">
        <w:rPr>
          <w:bCs/>
          <w:color w:val="000000" w:themeColor="text1"/>
          <w:sz w:val="22"/>
          <w:szCs w:val="22"/>
        </w:rPr>
        <w:lastRenderedPageBreak/>
        <w:t>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087914" w:rsidRPr="00F25230">
        <w:rPr>
          <w:rStyle w:val="af9"/>
          <w:rFonts w:eastAsia="Calibri"/>
          <w:sz w:val="22"/>
          <w:szCs w:val="22"/>
          <w:lang w:eastAsia="en-US"/>
        </w:rPr>
        <w:t>d.ganyukov@karousel.ru</w:t>
      </w:r>
      <w:r w:rsidRPr="00EC09C2">
        <w:rPr>
          <w:color w:val="000000" w:themeColor="text1"/>
          <w:sz w:val="22"/>
          <w:szCs w:val="22"/>
        </w:rPr>
        <w:t xml:space="preserve">, Покупатель </w:t>
      </w:r>
      <w:r w:rsidR="00E564A8" w:rsidRPr="00EC09C2">
        <w:rPr>
          <w:rStyle w:val="af9"/>
          <w:rFonts w:eastAsia="Calibri"/>
          <w:sz w:val="22"/>
          <w:szCs w:val="22"/>
          <w:lang w:eastAsia="en-US"/>
        </w:rPr>
        <w:t>__________________</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500FCB"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p w:rsidR="00313E8C" w:rsidRPr="006466FE" w:rsidRDefault="00313E8C" w:rsidP="00313E8C">
      <w:pPr>
        <w:widowControl w:val="0"/>
        <w:tabs>
          <w:tab w:val="left" w:pos="426"/>
          <w:tab w:val="left" w:pos="1134"/>
        </w:tabs>
        <w:autoSpaceDE w:val="0"/>
        <w:autoSpaceDN w:val="0"/>
        <w:adjustRightInd w:val="0"/>
        <w:ind w:left="567"/>
        <w:contextualSpacing/>
        <w:jc w:val="center"/>
        <w:rPr>
          <w:b/>
          <w:color w:val="000000" w:themeColor="text1"/>
          <w:sz w:val="22"/>
          <w:szCs w:val="22"/>
        </w:rPr>
      </w:pP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F25230">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F25230">
            <w:pPr>
              <w:snapToGrid w:val="0"/>
              <w:rPr>
                <w:b/>
                <w:color w:val="000000" w:themeColor="text1"/>
              </w:rPr>
            </w:pPr>
            <w:r w:rsidRPr="006466FE">
              <w:rPr>
                <w:b/>
                <w:color w:val="000000" w:themeColor="text1"/>
                <w:sz w:val="22"/>
                <w:szCs w:val="22"/>
              </w:rPr>
              <w:t>НАО «Красная поляна»</w:t>
            </w:r>
          </w:p>
          <w:p w:rsidR="00113014" w:rsidRPr="006466FE" w:rsidRDefault="00113014" w:rsidP="00F25230">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F25230">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F25230">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F25230">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F25230">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F25230">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F25230">
            <w:pPr>
              <w:tabs>
                <w:tab w:val="left" w:pos="284"/>
                <w:tab w:val="left" w:pos="8364"/>
              </w:tabs>
              <w:rPr>
                <w:color w:val="000000" w:themeColor="text1"/>
              </w:rPr>
            </w:pPr>
          </w:p>
          <w:p w:rsidR="00313E8C" w:rsidRPr="000F3F96" w:rsidRDefault="00313E8C" w:rsidP="00313E8C">
            <w:pPr>
              <w:tabs>
                <w:tab w:val="left" w:pos="284"/>
                <w:tab w:val="left" w:pos="8364"/>
              </w:tabs>
              <w:rPr>
                <w:b/>
                <w:color w:val="000000" w:themeColor="text1"/>
              </w:rPr>
            </w:pPr>
            <w:r w:rsidRPr="000F3F96">
              <w:rPr>
                <w:b/>
              </w:rPr>
              <w:t>Заместитель генерального директора по управлению гостиничным фондом, руководитель дирекции по управлению собственным номерным фондом</w:t>
            </w:r>
          </w:p>
          <w:p w:rsidR="00313E8C" w:rsidRDefault="00313E8C" w:rsidP="00313E8C">
            <w:pPr>
              <w:tabs>
                <w:tab w:val="left" w:pos="284"/>
                <w:tab w:val="left" w:pos="8364"/>
              </w:tabs>
              <w:rPr>
                <w:b/>
                <w:color w:val="000000" w:themeColor="text1"/>
              </w:rPr>
            </w:pPr>
          </w:p>
          <w:p w:rsidR="00313E8C" w:rsidRPr="00F74F07" w:rsidRDefault="00313E8C" w:rsidP="00313E8C">
            <w:pPr>
              <w:tabs>
                <w:tab w:val="left" w:pos="284"/>
                <w:tab w:val="left" w:pos="8364"/>
              </w:tabs>
              <w:rPr>
                <w:b/>
                <w:color w:val="000000" w:themeColor="text1"/>
              </w:rPr>
            </w:pPr>
          </w:p>
          <w:p w:rsidR="00313E8C" w:rsidRPr="00F74F07" w:rsidRDefault="00313E8C" w:rsidP="00313E8C">
            <w:pPr>
              <w:tabs>
                <w:tab w:val="left" w:pos="284"/>
                <w:tab w:val="left" w:pos="8364"/>
              </w:tabs>
              <w:rPr>
                <w:b/>
                <w:color w:val="000000" w:themeColor="text1"/>
              </w:rPr>
            </w:pPr>
            <w:r w:rsidRPr="00F74F07">
              <w:rPr>
                <w:b/>
                <w:color w:val="000000" w:themeColor="text1"/>
                <w:sz w:val="22"/>
                <w:szCs w:val="22"/>
              </w:rPr>
              <w:t>________________/</w:t>
            </w:r>
            <w:r>
              <w:rPr>
                <w:b/>
                <w:color w:val="000000" w:themeColor="text1"/>
                <w:sz w:val="22"/>
                <w:szCs w:val="22"/>
              </w:rPr>
              <w:t>В</w:t>
            </w:r>
            <w:r w:rsidRPr="00F74F07">
              <w:rPr>
                <w:b/>
                <w:color w:val="000000" w:themeColor="text1"/>
                <w:sz w:val="22"/>
                <w:szCs w:val="22"/>
              </w:rPr>
              <w:t xml:space="preserve">.В. </w:t>
            </w:r>
            <w:r>
              <w:rPr>
                <w:b/>
                <w:color w:val="000000" w:themeColor="text1"/>
                <w:sz w:val="22"/>
                <w:szCs w:val="22"/>
              </w:rPr>
              <w:t>Попандопуло</w:t>
            </w:r>
            <w:r w:rsidRPr="00F74F07">
              <w:rPr>
                <w:b/>
                <w:color w:val="000000" w:themeColor="text1"/>
                <w:sz w:val="22"/>
                <w:szCs w:val="22"/>
              </w:rPr>
              <w:t>/</w:t>
            </w:r>
          </w:p>
          <w:p w:rsidR="00113014" w:rsidRPr="006466FE" w:rsidRDefault="00313E8C" w:rsidP="00313E8C">
            <w:pPr>
              <w:tabs>
                <w:tab w:val="left" w:pos="284"/>
              </w:tabs>
              <w:autoSpaceDE w:val="0"/>
              <w:autoSpaceDN w:val="0"/>
              <w:ind w:hanging="6"/>
              <w:jc w:val="both"/>
              <w:rPr>
                <w:b/>
                <w:color w:val="000000" w:themeColor="text1"/>
              </w:rPr>
            </w:pPr>
            <w:r w:rsidRPr="00F74F07">
              <w:rPr>
                <w:b/>
                <w:color w:val="000000" w:themeColor="text1"/>
                <w:sz w:val="22"/>
                <w:szCs w:val="22"/>
              </w:rPr>
              <w:t>М.П.</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313E8C" w:rsidRDefault="00313E8C" w:rsidP="00293E1C">
            <w:pPr>
              <w:tabs>
                <w:tab w:val="left" w:pos="284"/>
                <w:tab w:val="left" w:pos="8364"/>
              </w:tabs>
              <w:rPr>
                <w:color w:val="000000" w:themeColor="text1"/>
              </w:rPr>
            </w:pPr>
          </w:p>
          <w:p w:rsidR="00313E8C" w:rsidRDefault="00313E8C" w:rsidP="00293E1C">
            <w:pPr>
              <w:tabs>
                <w:tab w:val="left" w:pos="284"/>
                <w:tab w:val="left" w:pos="8364"/>
              </w:tabs>
              <w:rPr>
                <w:color w:val="000000" w:themeColor="text1"/>
              </w:rPr>
            </w:pPr>
          </w:p>
          <w:p w:rsidR="00313E8C" w:rsidRDefault="00313E8C" w:rsidP="00293E1C">
            <w:pPr>
              <w:tabs>
                <w:tab w:val="left" w:pos="284"/>
                <w:tab w:val="left" w:pos="8364"/>
              </w:tabs>
              <w:rPr>
                <w:color w:val="000000" w:themeColor="text1"/>
              </w:rPr>
            </w:pPr>
          </w:p>
          <w:p w:rsidR="00313E8C" w:rsidRDefault="00313E8C"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313E8C" w:rsidP="00313E8C">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682B28" w:rsidRPr="006466FE" w:rsidRDefault="008C7216" w:rsidP="005E7D19">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bookmarkStart w:id="1" w:name="_GoBack"/>
      <w:bookmarkEnd w:id="1"/>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1555"/>
        <w:gridCol w:w="2728"/>
        <w:gridCol w:w="709"/>
        <w:gridCol w:w="992"/>
        <w:gridCol w:w="1559"/>
        <w:gridCol w:w="1276"/>
        <w:gridCol w:w="1243"/>
      </w:tblGrid>
      <w:tr w:rsidR="00386E3D" w:rsidRPr="00DB0349" w:rsidTr="00386E3D">
        <w:trPr>
          <w:trHeight w:val="841"/>
        </w:trPr>
        <w:tc>
          <w:tcPr>
            <w:tcW w:w="50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gramStart"/>
            <w:r w:rsidRPr="00DB0349">
              <w:rPr>
                <w:b/>
                <w:color w:val="000000" w:themeColor="text1"/>
                <w:sz w:val="20"/>
                <w:szCs w:val="20"/>
              </w:rPr>
              <w:t>п</w:t>
            </w:r>
            <w:proofErr w:type="gramEnd"/>
            <w:r w:rsidRPr="00DB0349">
              <w:rPr>
                <w:b/>
                <w:color w:val="000000" w:themeColor="text1"/>
                <w:sz w:val="20"/>
                <w:szCs w:val="20"/>
              </w:rPr>
              <w:t>/п</w:t>
            </w:r>
          </w:p>
        </w:tc>
        <w:tc>
          <w:tcPr>
            <w:tcW w:w="1555"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2728"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r w:rsidR="00386E3D" w:rsidRPr="00386E3D">
              <w:rPr>
                <w:b/>
                <w:color w:val="000000" w:themeColor="text1"/>
                <w:sz w:val="20"/>
                <w:szCs w:val="20"/>
              </w:rPr>
              <w:t>/НДС не предусмотрен</w:t>
            </w:r>
          </w:p>
        </w:tc>
        <w:tc>
          <w:tcPr>
            <w:tcW w:w="1276"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r w:rsidR="00386E3D">
              <w:rPr>
                <w:b/>
                <w:color w:val="000000" w:themeColor="text1"/>
                <w:sz w:val="20"/>
                <w:szCs w:val="20"/>
              </w:rPr>
              <w:t>/</w:t>
            </w:r>
            <w:r w:rsidR="00386E3D" w:rsidRPr="00386E3D">
              <w:rPr>
                <w:b/>
                <w:color w:val="000000" w:themeColor="text1"/>
                <w:sz w:val="20"/>
                <w:szCs w:val="20"/>
              </w:rPr>
              <w:t>НДС не предусмотрен</w:t>
            </w:r>
          </w:p>
        </w:tc>
        <w:tc>
          <w:tcPr>
            <w:tcW w:w="124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r w:rsidR="00386E3D">
              <w:rPr>
                <w:b/>
                <w:color w:val="000000" w:themeColor="text1"/>
                <w:sz w:val="20"/>
                <w:szCs w:val="20"/>
              </w:rPr>
              <w:t>/</w:t>
            </w:r>
            <w:r w:rsidR="00386E3D" w:rsidRPr="00386E3D">
              <w:rPr>
                <w:b/>
                <w:color w:val="000000" w:themeColor="text1"/>
                <w:sz w:val="20"/>
                <w:szCs w:val="20"/>
              </w:rPr>
              <w:t>НДС не предусмотрен</w:t>
            </w:r>
          </w:p>
        </w:tc>
      </w:tr>
      <w:tr w:rsidR="00386E3D" w:rsidRPr="00DB0349" w:rsidTr="00386E3D">
        <w:trPr>
          <w:trHeight w:val="274"/>
        </w:trPr>
        <w:tc>
          <w:tcPr>
            <w:tcW w:w="503" w:type="dxa"/>
            <w:tcBorders>
              <w:top w:val="single" w:sz="4" w:space="0" w:color="auto"/>
              <w:left w:val="single" w:sz="4" w:space="0" w:color="auto"/>
              <w:bottom w:val="single" w:sz="4" w:space="0" w:color="auto"/>
              <w:right w:val="single" w:sz="4" w:space="0" w:color="auto"/>
            </w:tcBorders>
          </w:tcPr>
          <w:p w:rsidR="00682B28" w:rsidRPr="00DB0349"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555" w:type="dxa"/>
            <w:tcBorders>
              <w:top w:val="single" w:sz="4" w:space="0" w:color="auto"/>
              <w:left w:val="single" w:sz="4" w:space="0" w:color="auto"/>
              <w:bottom w:val="single" w:sz="4" w:space="0" w:color="auto"/>
              <w:right w:val="single" w:sz="4" w:space="0" w:color="auto"/>
            </w:tcBorders>
          </w:tcPr>
          <w:p w:rsidR="00682B28" w:rsidRPr="00386E3D" w:rsidRDefault="00386E3D" w:rsidP="00386E3D">
            <w:pPr>
              <w:pStyle w:val="aff2"/>
              <w:rPr>
                <w:rFonts w:ascii="Times New Roman" w:hAnsi="Times New Roman"/>
                <w:sz w:val="20"/>
              </w:rPr>
            </w:pPr>
            <w:r w:rsidRPr="00386E3D">
              <w:rPr>
                <w:rFonts w:ascii="Times New Roman" w:hAnsi="Times New Roman"/>
                <w:sz w:val="20"/>
              </w:rPr>
              <w:t>Техническая соль</w:t>
            </w:r>
          </w:p>
        </w:tc>
        <w:tc>
          <w:tcPr>
            <w:tcW w:w="2728" w:type="dxa"/>
            <w:tcBorders>
              <w:top w:val="single" w:sz="4" w:space="0" w:color="auto"/>
              <w:left w:val="single" w:sz="4" w:space="0" w:color="auto"/>
              <w:bottom w:val="single" w:sz="4" w:space="0" w:color="auto"/>
              <w:right w:val="single" w:sz="4" w:space="0" w:color="auto"/>
            </w:tcBorders>
          </w:tcPr>
          <w:p w:rsidR="00087710" w:rsidRPr="00087710" w:rsidRDefault="00087710" w:rsidP="00087710">
            <w:pPr>
              <w:pStyle w:val="aff2"/>
              <w:rPr>
                <w:rFonts w:ascii="Times New Roman" w:hAnsi="Times New Roman"/>
              </w:rPr>
            </w:pPr>
            <w:proofErr w:type="spellStart"/>
            <w:r w:rsidRPr="00087710">
              <w:rPr>
                <w:rFonts w:ascii="Times New Roman" w:hAnsi="Times New Roman"/>
              </w:rPr>
              <w:t>Концетрат</w:t>
            </w:r>
            <w:proofErr w:type="spellEnd"/>
            <w:r w:rsidRPr="00087710">
              <w:rPr>
                <w:rFonts w:ascii="Times New Roman" w:hAnsi="Times New Roman"/>
              </w:rPr>
              <w:t xml:space="preserve"> минеральный </w:t>
            </w:r>
            <w:proofErr w:type="spellStart"/>
            <w:r w:rsidRPr="00087710">
              <w:rPr>
                <w:rFonts w:ascii="Times New Roman" w:hAnsi="Times New Roman"/>
              </w:rPr>
              <w:t>Галит</w:t>
            </w:r>
            <w:proofErr w:type="spellEnd"/>
            <w:r w:rsidRPr="00087710">
              <w:rPr>
                <w:rFonts w:ascii="Times New Roman" w:hAnsi="Times New Roman"/>
              </w:rPr>
              <w:t xml:space="preserve"> тип</w:t>
            </w:r>
            <w:proofErr w:type="gramStart"/>
            <w:r w:rsidRPr="00087710">
              <w:rPr>
                <w:rFonts w:ascii="Times New Roman" w:hAnsi="Times New Roman"/>
              </w:rPr>
              <w:t xml:space="preserve"> С</w:t>
            </w:r>
            <w:proofErr w:type="gramEnd"/>
            <w:r w:rsidRPr="00087710">
              <w:rPr>
                <w:rFonts w:ascii="Times New Roman" w:hAnsi="Times New Roman"/>
              </w:rPr>
              <w:t xml:space="preserve"> (ООО «</w:t>
            </w:r>
            <w:proofErr w:type="spellStart"/>
            <w:r w:rsidRPr="00087710">
              <w:rPr>
                <w:rFonts w:ascii="Times New Roman" w:hAnsi="Times New Roman"/>
              </w:rPr>
              <w:t>Руссоль-г.Н.Баскунчак</w:t>
            </w:r>
            <w:proofErr w:type="spellEnd"/>
            <w:r w:rsidRPr="00087710">
              <w:rPr>
                <w:rFonts w:ascii="Times New Roman" w:hAnsi="Times New Roman"/>
              </w:rPr>
              <w:t xml:space="preserve">) </w:t>
            </w:r>
          </w:p>
          <w:p w:rsidR="00682B28" w:rsidRPr="00386E3D" w:rsidRDefault="00087710" w:rsidP="00087710">
            <w:pPr>
              <w:pStyle w:val="aff2"/>
              <w:rPr>
                <w:rFonts w:ascii="Times New Roman" w:hAnsi="Times New Roman"/>
              </w:rPr>
            </w:pPr>
            <w:r w:rsidRPr="00087710">
              <w:rPr>
                <w:rFonts w:ascii="Times New Roman" w:hAnsi="Times New Roman"/>
              </w:rPr>
              <w:t xml:space="preserve">ТУ 211-006-00352816-2008 Техническая соль используется как </w:t>
            </w:r>
            <w:proofErr w:type="spellStart"/>
            <w:r w:rsidRPr="00087710">
              <w:rPr>
                <w:rFonts w:ascii="Times New Roman" w:hAnsi="Times New Roman"/>
              </w:rPr>
              <w:t>противогололедный</w:t>
            </w:r>
            <w:proofErr w:type="spellEnd"/>
            <w:r w:rsidRPr="00087710">
              <w:rPr>
                <w:rFonts w:ascii="Times New Roman" w:hAnsi="Times New Roman"/>
              </w:rPr>
              <w:t xml:space="preserve"> материал на твердых покрытиях. Техническая соль должна быть первого сорта третьего помола, с содержанием основного химического элемента хлористого натрия </w:t>
            </w:r>
            <w:proofErr w:type="spellStart"/>
            <w:r w:rsidRPr="00087710">
              <w:rPr>
                <w:rFonts w:ascii="Times New Roman" w:hAnsi="Times New Roman"/>
              </w:rPr>
              <w:t>NaCl</w:t>
            </w:r>
            <w:proofErr w:type="spellEnd"/>
            <w:r w:rsidRPr="00087710">
              <w:rPr>
                <w:rFonts w:ascii="Times New Roman" w:hAnsi="Times New Roman"/>
              </w:rPr>
              <w:t xml:space="preserve">  не менее 90%. Качество товара должно быть подтверждено сертификатом качества</w:t>
            </w:r>
          </w:p>
        </w:tc>
        <w:tc>
          <w:tcPr>
            <w:tcW w:w="709" w:type="dxa"/>
            <w:tcBorders>
              <w:top w:val="single" w:sz="4" w:space="0" w:color="auto"/>
              <w:left w:val="single" w:sz="4" w:space="0" w:color="auto"/>
              <w:bottom w:val="single" w:sz="4" w:space="0" w:color="auto"/>
              <w:right w:val="single" w:sz="4" w:space="0" w:color="auto"/>
            </w:tcBorders>
          </w:tcPr>
          <w:p w:rsidR="00682B28" w:rsidRPr="00DB0349" w:rsidRDefault="00386E3D" w:rsidP="00682B28">
            <w:pPr>
              <w:pStyle w:val="aff2"/>
              <w:jc w:val="center"/>
              <w:rPr>
                <w:rFonts w:ascii="Times New Roman" w:hAnsi="Times New Roman"/>
                <w:sz w:val="20"/>
                <w:szCs w:val="20"/>
              </w:rPr>
            </w:pPr>
            <w:proofErr w:type="gramStart"/>
            <w:r>
              <w:rPr>
                <w:rFonts w:ascii="Times New Roman" w:hAnsi="Times New Roman"/>
                <w:sz w:val="20"/>
                <w:szCs w:val="20"/>
              </w:rPr>
              <w:t>кг</w:t>
            </w:r>
            <w:proofErr w:type="gramEnd"/>
            <w:r>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682B28" w:rsidRPr="00DB0349" w:rsidRDefault="00386E3D" w:rsidP="00682B28">
            <w:pPr>
              <w:pStyle w:val="aff2"/>
              <w:jc w:val="center"/>
              <w:rPr>
                <w:rFonts w:ascii="Times New Roman" w:hAnsi="Times New Roman"/>
                <w:sz w:val="20"/>
                <w:szCs w:val="20"/>
              </w:rPr>
            </w:pPr>
            <w:r>
              <w:rPr>
                <w:rFonts w:ascii="Times New Roman" w:hAnsi="Times New Roman"/>
                <w:sz w:val="20"/>
                <w:szCs w:val="20"/>
              </w:rPr>
              <w:t>552 000</w:t>
            </w:r>
          </w:p>
        </w:tc>
        <w:tc>
          <w:tcPr>
            <w:tcW w:w="1559" w:type="dxa"/>
            <w:tcBorders>
              <w:top w:val="single" w:sz="4" w:space="0" w:color="auto"/>
              <w:left w:val="single" w:sz="4" w:space="0" w:color="auto"/>
              <w:bottom w:val="single" w:sz="4" w:space="0" w:color="auto"/>
              <w:right w:val="single" w:sz="4" w:space="0" w:color="auto"/>
            </w:tcBorders>
          </w:tcPr>
          <w:p w:rsidR="00682B28" w:rsidRPr="00DB0349" w:rsidRDefault="00682B28" w:rsidP="00386E3D">
            <w:pPr>
              <w:pStyle w:val="a9"/>
              <w:jc w:val="right"/>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682B28" w:rsidRPr="00DB0349" w:rsidRDefault="00682B28" w:rsidP="00386E3D">
            <w:pPr>
              <w:pStyle w:val="a9"/>
              <w:jc w:val="right"/>
              <w:rPr>
                <w:color w:val="000000" w:themeColor="text1"/>
                <w:sz w:val="20"/>
                <w:szCs w:val="20"/>
              </w:rPr>
            </w:pPr>
          </w:p>
        </w:tc>
        <w:tc>
          <w:tcPr>
            <w:tcW w:w="1243" w:type="dxa"/>
            <w:tcBorders>
              <w:top w:val="single" w:sz="4" w:space="0" w:color="auto"/>
              <w:left w:val="single" w:sz="4" w:space="0" w:color="auto"/>
              <w:bottom w:val="single" w:sz="4" w:space="0" w:color="auto"/>
              <w:right w:val="single" w:sz="4" w:space="0" w:color="auto"/>
            </w:tcBorders>
          </w:tcPr>
          <w:p w:rsidR="00682B28" w:rsidRPr="00DB0349" w:rsidRDefault="00682B28" w:rsidP="00386E3D">
            <w:pPr>
              <w:pStyle w:val="a9"/>
              <w:jc w:val="right"/>
              <w:rPr>
                <w:color w:val="000000" w:themeColor="text1"/>
                <w:sz w:val="20"/>
                <w:szCs w:val="20"/>
              </w:rPr>
            </w:pPr>
          </w:p>
        </w:tc>
      </w:tr>
      <w:tr w:rsidR="00386E3D" w:rsidRPr="00DB0349" w:rsidTr="00386E3D">
        <w:trPr>
          <w:trHeight w:val="274"/>
        </w:trPr>
        <w:tc>
          <w:tcPr>
            <w:tcW w:w="503" w:type="dxa"/>
            <w:tcBorders>
              <w:top w:val="single" w:sz="4" w:space="0" w:color="auto"/>
              <w:left w:val="single" w:sz="4" w:space="0" w:color="auto"/>
              <w:bottom w:val="single" w:sz="4" w:space="0" w:color="auto"/>
              <w:right w:val="single" w:sz="4" w:space="0" w:color="auto"/>
            </w:tcBorders>
          </w:tcPr>
          <w:p w:rsidR="00386E3D" w:rsidRPr="00DB0349" w:rsidRDefault="00386E3D" w:rsidP="009718FD">
            <w:pPr>
              <w:pStyle w:val="af7"/>
              <w:widowControl w:val="0"/>
              <w:numPr>
                <w:ilvl w:val="0"/>
                <w:numId w:val="17"/>
              </w:numPr>
              <w:spacing w:line="256" w:lineRule="auto"/>
              <w:jc w:val="center"/>
              <w:rPr>
                <w:color w:val="000000" w:themeColor="text1"/>
                <w:sz w:val="20"/>
                <w:szCs w:val="20"/>
                <w:lang w:bidi="ru-RU"/>
              </w:rPr>
            </w:pPr>
          </w:p>
        </w:tc>
        <w:tc>
          <w:tcPr>
            <w:tcW w:w="1555" w:type="dxa"/>
            <w:tcBorders>
              <w:top w:val="single" w:sz="4" w:space="0" w:color="auto"/>
              <w:left w:val="single" w:sz="4" w:space="0" w:color="auto"/>
              <w:bottom w:val="single" w:sz="4" w:space="0" w:color="auto"/>
              <w:right w:val="single" w:sz="4" w:space="0" w:color="auto"/>
            </w:tcBorders>
          </w:tcPr>
          <w:p w:rsidR="00386E3D" w:rsidRPr="00386E3D" w:rsidRDefault="00386E3D" w:rsidP="00386E3D">
            <w:pPr>
              <w:pStyle w:val="aff2"/>
              <w:rPr>
                <w:rFonts w:ascii="Times New Roman" w:hAnsi="Times New Roman"/>
                <w:sz w:val="20"/>
              </w:rPr>
            </w:pPr>
            <w:r w:rsidRPr="00386E3D">
              <w:rPr>
                <w:rFonts w:ascii="Times New Roman" w:hAnsi="Times New Roman"/>
                <w:sz w:val="20"/>
              </w:rPr>
              <w:t>Техническая соль</w:t>
            </w:r>
          </w:p>
        </w:tc>
        <w:tc>
          <w:tcPr>
            <w:tcW w:w="2728" w:type="dxa"/>
            <w:tcBorders>
              <w:top w:val="single" w:sz="4" w:space="0" w:color="auto"/>
              <w:left w:val="single" w:sz="4" w:space="0" w:color="auto"/>
              <w:bottom w:val="single" w:sz="4" w:space="0" w:color="auto"/>
              <w:right w:val="single" w:sz="4" w:space="0" w:color="auto"/>
            </w:tcBorders>
            <w:shd w:val="clear" w:color="auto" w:fill="auto"/>
          </w:tcPr>
          <w:p w:rsidR="00087710" w:rsidRPr="00D820C0" w:rsidRDefault="00087710" w:rsidP="00087710">
            <w:pPr>
              <w:pStyle w:val="aff2"/>
              <w:rPr>
                <w:rFonts w:ascii="Times New Roman" w:hAnsi="Times New Roman"/>
              </w:rPr>
            </w:pPr>
            <w:proofErr w:type="spellStart"/>
            <w:r w:rsidRPr="00D820C0">
              <w:rPr>
                <w:rFonts w:ascii="Times New Roman" w:hAnsi="Times New Roman"/>
              </w:rPr>
              <w:t>Концетрат</w:t>
            </w:r>
            <w:proofErr w:type="spellEnd"/>
            <w:r w:rsidRPr="00D820C0">
              <w:rPr>
                <w:rFonts w:ascii="Times New Roman" w:hAnsi="Times New Roman"/>
              </w:rPr>
              <w:t xml:space="preserve"> минеральный </w:t>
            </w:r>
            <w:proofErr w:type="spellStart"/>
            <w:r w:rsidRPr="00D820C0">
              <w:rPr>
                <w:rFonts w:ascii="Times New Roman" w:hAnsi="Times New Roman"/>
              </w:rPr>
              <w:t>Галит</w:t>
            </w:r>
            <w:proofErr w:type="spellEnd"/>
            <w:r w:rsidRPr="00D820C0">
              <w:rPr>
                <w:rFonts w:ascii="Times New Roman" w:hAnsi="Times New Roman"/>
              </w:rPr>
              <w:t xml:space="preserve"> марка А (ОАО «</w:t>
            </w:r>
            <w:proofErr w:type="spellStart"/>
            <w:r w:rsidRPr="00D820C0">
              <w:rPr>
                <w:rFonts w:ascii="Times New Roman" w:hAnsi="Times New Roman"/>
              </w:rPr>
              <w:t>Беларуськалий</w:t>
            </w:r>
            <w:proofErr w:type="spellEnd"/>
            <w:r w:rsidRPr="00D820C0">
              <w:rPr>
                <w:rFonts w:ascii="Times New Roman" w:hAnsi="Times New Roman"/>
              </w:rPr>
              <w:t xml:space="preserve">» - </w:t>
            </w:r>
            <w:proofErr w:type="spellStart"/>
            <w:r w:rsidRPr="00D820C0">
              <w:rPr>
                <w:rFonts w:ascii="Times New Roman" w:hAnsi="Times New Roman"/>
              </w:rPr>
              <w:t>г</w:t>
            </w:r>
            <w:proofErr w:type="gramStart"/>
            <w:r w:rsidRPr="00D820C0">
              <w:rPr>
                <w:rFonts w:ascii="Times New Roman" w:hAnsi="Times New Roman"/>
              </w:rPr>
              <w:t>.С</w:t>
            </w:r>
            <w:proofErr w:type="gramEnd"/>
            <w:r w:rsidRPr="00D820C0">
              <w:rPr>
                <w:rFonts w:ascii="Times New Roman" w:hAnsi="Times New Roman"/>
              </w:rPr>
              <w:t>олигорск</w:t>
            </w:r>
            <w:proofErr w:type="spellEnd"/>
            <w:r w:rsidRPr="00D820C0">
              <w:rPr>
                <w:rFonts w:ascii="Times New Roman" w:hAnsi="Times New Roman"/>
              </w:rPr>
              <w:t xml:space="preserve">) </w:t>
            </w:r>
          </w:p>
          <w:p w:rsidR="00386E3D" w:rsidRPr="00DB0349" w:rsidRDefault="00087710" w:rsidP="00087710">
            <w:pPr>
              <w:pStyle w:val="aff2"/>
              <w:rPr>
                <w:sz w:val="20"/>
                <w:szCs w:val="20"/>
              </w:rPr>
            </w:pPr>
            <w:proofErr w:type="gramStart"/>
            <w:r w:rsidRPr="00D820C0">
              <w:rPr>
                <w:rFonts w:ascii="Times New Roman" w:hAnsi="Times New Roman"/>
              </w:rPr>
              <w:t>ТУ РБ</w:t>
            </w:r>
            <w:proofErr w:type="gramEnd"/>
            <w:r w:rsidRPr="00D820C0">
              <w:rPr>
                <w:rFonts w:ascii="Times New Roman" w:hAnsi="Times New Roman"/>
              </w:rPr>
              <w:t xml:space="preserve"> 600122610.016-2002 Техническая соль используется как </w:t>
            </w:r>
            <w:proofErr w:type="spellStart"/>
            <w:r w:rsidRPr="00D820C0">
              <w:rPr>
                <w:rFonts w:ascii="Times New Roman" w:hAnsi="Times New Roman"/>
              </w:rPr>
              <w:t>противогололедный</w:t>
            </w:r>
            <w:proofErr w:type="spellEnd"/>
            <w:r w:rsidRPr="00D820C0">
              <w:rPr>
                <w:rFonts w:ascii="Times New Roman" w:hAnsi="Times New Roman"/>
              </w:rPr>
              <w:t xml:space="preserve"> материал на твердых покрытиях. Техническая соль должна быть белой, с содержанием основного химического элемента хлористого натрия </w:t>
            </w:r>
            <w:proofErr w:type="spellStart"/>
            <w:r w:rsidRPr="00D820C0">
              <w:rPr>
                <w:rFonts w:ascii="Times New Roman" w:hAnsi="Times New Roman"/>
              </w:rPr>
              <w:t>NaCl</w:t>
            </w:r>
            <w:proofErr w:type="spellEnd"/>
            <w:r w:rsidRPr="00D820C0">
              <w:rPr>
                <w:rFonts w:ascii="Times New Roman" w:hAnsi="Times New Roman"/>
              </w:rPr>
              <w:t xml:space="preserve"> не менее 98%. Качество товара должно быть подтверждено сертификатом качества</w:t>
            </w:r>
          </w:p>
        </w:tc>
        <w:tc>
          <w:tcPr>
            <w:tcW w:w="709" w:type="dxa"/>
            <w:tcBorders>
              <w:top w:val="single" w:sz="4" w:space="0" w:color="auto"/>
              <w:left w:val="single" w:sz="4" w:space="0" w:color="auto"/>
              <w:bottom w:val="single" w:sz="4" w:space="0" w:color="auto"/>
              <w:right w:val="single" w:sz="4" w:space="0" w:color="auto"/>
            </w:tcBorders>
          </w:tcPr>
          <w:p w:rsidR="00386E3D" w:rsidRPr="00DB0349" w:rsidRDefault="00386E3D" w:rsidP="00682B28">
            <w:pPr>
              <w:pStyle w:val="aff2"/>
              <w:jc w:val="center"/>
              <w:rPr>
                <w:rFonts w:ascii="Times New Roman" w:hAnsi="Times New Roman"/>
                <w:sz w:val="20"/>
                <w:szCs w:val="20"/>
              </w:rPr>
            </w:pPr>
            <w:proofErr w:type="gramStart"/>
            <w:r>
              <w:rPr>
                <w:rFonts w:ascii="Times New Roman" w:hAnsi="Times New Roman"/>
                <w:sz w:val="20"/>
                <w:szCs w:val="20"/>
              </w:rPr>
              <w:t>кг</w:t>
            </w:r>
            <w:proofErr w:type="gramEnd"/>
            <w:r>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386E3D" w:rsidRPr="00DB0349" w:rsidRDefault="00386E3D" w:rsidP="00682B28">
            <w:pPr>
              <w:pStyle w:val="aff2"/>
              <w:jc w:val="center"/>
              <w:rPr>
                <w:rFonts w:ascii="Times New Roman" w:hAnsi="Times New Roman"/>
                <w:sz w:val="20"/>
                <w:szCs w:val="20"/>
              </w:rPr>
            </w:pPr>
            <w:r>
              <w:rPr>
                <w:rFonts w:ascii="Times New Roman" w:hAnsi="Times New Roman"/>
                <w:sz w:val="20"/>
                <w:szCs w:val="20"/>
              </w:rPr>
              <w:t>207 000</w:t>
            </w:r>
          </w:p>
        </w:tc>
        <w:tc>
          <w:tcPr>
            <w:tcW w:w="1559" w:type="dxa"/>
            <w:tcBorders>
              <w:top w:val="single" w:sz="4" w:space="0" w:color="auto"/>
              <w:left w:val="single" w:sz="4" w:space="0" w:color="auto"/>
              <w:bottom w:val="single" w:sz="4" w:space="0" w:color="auto"/>
              <w:right w:val="single" w:sz="4" w:space="0" w:color="auto"/>
            </w:tcBorders>
          </w:tcPr>
          <w:p w:rsidR="00386E3D" w:rsidRPr="00DB0349" w:rsidRDefault="00386E3D" w:rsidP="00386E3D">
            <w:pPr>
              <w:pStyle w:val="a9"/>
              <w:jc w:val="right"/>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386E3D" w:rsidRPr="00DB0349" w:rsidRDefault="00386E3D" w:rsidP="00386E3D">
            <w:pPr>
              <w:pStyle w:val="a9"/>
              <w:jc w:val="right"/>
              <w:rPr>
                <w:color w:val="000000" w:themeColor="text1"/>
                <w:sz w:val="20"/>
                <w:szCs w:val="20"/>
              </w:rPr>
            </w:pPr>
          </w:p>
        </w:tc>
        <w:tc>
          <w:tcPr>
            <w:tcW w:w="1243" w:type="dxa"/>
            <w:tcBorders>
              <w:top w:val="single" w:sz="4" w:space="0" w:color="auto"/>
              <w:left w:val="single" w:sz="4" w:space="0" w:color="auto"/>
              <w:bottom w:val="single" w:sz="4" w:space="0" w:color="auto"/>
              <w:right w:val="single" w:sz="4" w:space="0" w:color="auto"/>
            </w:tcBorders>
          </w:tcPr>
          <w:p w:rsidR="00386E3D" w:rsidRPr="00DB0349" w:rsidRDefault="00386E3D" w:rsidP="00386E3D">
            <w:pPr>
              <w:pStyle w:val="a9"/>
              <w:jc w:val="right"/>
              <w:rPr>
                <w:color w:val="000000" w:themeColor="text1"/>
                <w:sz w:val="20"/>
                <w:szCs w:val="20"/>
              </w:rPr>
            </w:pPr>
          </w:p>
        </w:tc>
      </w:tr>
      <w:tr w:rsidR="00386E3D" w:rsidRPr="00DB0349" w:rsidTr="00386E3D">
        <w:trPr>
          <w:trHeight w:val="328"/>
        </w:trPr>
        <w:tc>
          <w:tcPr>
            <w:tcW w:w="503"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555" w:type="dxa"/>
            <w:tcBorders>
              <w:top w:val="single" w:sz="4" w:space="0" w:color="auto"/>
              <w:left w:val="nil"/>
              <w:bottom w:val="nil"/>
              <w:right w:val="nil"/>
            </w:tcBorders>
          </w:tcPr>
          <w:p w:rsidR="00B40D4E" w:rsidRPr="00DB0349" w:rsidRDefault="00B40D4E" w:rsidP="00B40D4E">
            <w:pPr>
              <w:rPr>
                <w:rFonts w:eastAsia="Courier New"/>
                <w:color w:val="000000" w:themeColor="text1"/>
                <w:sz w:val="20"/>
                <w:szCs w:val="20"/>
              </w:rPr>
            </w:pPr>
          </w:p>
        </w:tc>
        <w:tc>
          <w:tcPr>
            <w:tcW w:w="2728"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709"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2551"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519"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386E3D" w:rsidRPr="00DB0349" w:rsidTr="00386E3D">
        <w:trPr>
          <w:trHeight w:val="328"/>
        </w:trPr>
        <w:tc>
          <w:tcPr>
            <w:tcW w:w="503"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555"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2728"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709"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2551"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 xml:space="preserve">в </w:t>
            </w:r>
            <w:proofErr w:type="spellStart"/>
            <w:r w:rsidRPr="00DB0349">
              <w:rPr>
                <w:color w:val="000000" w:themeColor="text1"/>
                <w:sz w:val="20"/>
                <w:szCs w:val="20"/>
              </w:rPr>
              <w:t>т.ч</w:t>
            </w:r>
            <w:proofErr w:type="spellEnd"/>
            <w:r w:rsidRPr="00DB0349">
              <w:rPr>
                <w:color w:val="000000" w:themeColor="text1"/>
                <w:sz w:val="20"/>
                <w:szCs w:val="20"/>
              </w:rPr>
              <w:t>. НДС 18%</w:t>
            </w:r>
            <w:r w:rsidR="00386E3D">
              <w:rPr>
                <w:color w:val="000000" w:themeColor="text1"/>
                <w:sz w:val="20"/>
                <w:szCs w:val="20"/>
              </w:rPr>
              <w:t>/</w:t>
            </w:r>
            <w:r w:rsidR="00386E3D" w:rsidRPr="00386E3D">
              <w:rPr>
                <w:i/>
                <w:color w:val="000000" w:themeColor="text1"/>
                <w:sz w:val="20"/>
                <w:szCs w:val="20"/>
              </w:rPr>
              <w:t>НДС не предусмотрен</w:t>
            </w:r>
          </w:p>
        </w:tc>
        <w:tc>
          <w:tcPr>
            <w:tcW w:w="2519"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w:t>
      </w:r>
      <w:r w:rsidR="00CC2FA5" w:rsidRPr="006466FE">
        <w:rPr>
          <w:color w:val="000000" w:themeColor="text1"/>
          <w:sz w:val="22"/>
          <w:szCs w:val="22"/>
        </w:rPr>
        <w:t>.</w:t>
      </w:r>
    </w:p>
    <w:p w:rsidR="009B351C" w:rsidRPr="009B351C" w:rsidRDefault="009B351C" w:rsidP="00ED3163">
      <w:pPr>
        <w:pStyle w:val="af7"/>
        <w:numPr>
          <w:ilvl w:val="0"/>
          <w:numId w:val="14"/>
        </w:numPr>
        <w:tabs>
          <w:tab w:val="left" w:pos="284"/>
          <w:tab w:val="left" w:pos="851"/>
        </w:tabs>
        <w:ind w:left="0" w:firstLine="567"/>
        <w:jc w:val="both"/>
        <w:rPr>
          <w:color w:val="000000" w:themeColor="text1"/>
          <w:sz w:val="22"/>
          <w:szCs w:val="22"/>
        </w:rPr>
      </w:pPr>
      <w:r w:rsidRPr="00E80205">
        <w:rPr>
          <w:lang w:eastAsia="zh-CN"/>
        </w:rPr>
        <w:t xml:space="preserve">Поставка товара осуществляется транспортом Поставщика и за счет Поставщика. Все виды погрузочных работ, включая работы с применением грузоподъемных средств, осуществляются Поставщиком собственными техническими средствами и/или за свой счет. Транспортировка товара должна осуществляться в </w:t>
      </w:r>
      <w:proofErr w:type="gramStart"/>
      <w:r w:rsidRPr="00E80205">
        <w:rPr>
          <w:lang w:eastAsia="zh-CN"/>
        </w:rPr>
        <w:t>соответствии</w:t>
      </w:r>
      <w:proofErr w:type="gramEnd"/>
      <w:r w:rsidRPr="00E80205">
        <w:rPr>
          <w:lang w:eastAsia="zh-CN"/>
        </w:rPr>
        <w:t xml:space="preserve"> с требованиями для данного вида товара, транспортом всех </w:t>
      </w:r>
      <w:r w:rsidRPr="00E80205">
        <w:rPr>
          <w:lang w:eastAsia="zh-CN"/>
        </w:rPr>
        <w:lastRenderedPageBreak/>
        <w:t>видов в соответствии с правилами перевозок грузов, действующими на транспорте данного вида, утвержденными в установленном порядке</w:t>
      </w:r>
      <w:r>
        <w:rPr>
          <w:lang w:eastAsia="zh-CN"/>
        </w:rPr>
        <w:t>.</w:t>
      </w:r>
    </w:p>
    <w:p w:rsidR="009B351C" w:rsidRPr="006466FE" w:rsidRDefault="009B351C" w:rsidP="00ED3163">
      <w:pPr>
        <w:pStyle w:val="af7"/>
        <w:numPr>
          <w:ilvl w:val="0"/>
          <w:numId w:val="14"/>
        </w:numPr>
        <w:tabs>
          <w:tab w:val="left" w:pos="284"/>
          <w:tab w:val="left" w:pos="851"/>
        </w:tabs>
        <w:ind w:left="0" w:firstLine="567"/>
        <w:jc w:val="both"/>
        <w:rPr>
          <w:color w:val="000000" w:themeColor="text1"/>
          <w:sz w:val="22"/>
          <w:szCs w:val="22"/>
        </w:rPr>
      </w:pPr>
      <w:r w:rsidRPr="00E80205">
        <w:rPr>
          <w:lang w:eastAsia="zh-CN"/>
        </w:rPr>
        <w:t>Товар должен поставлять</w:t>
      </w:r>
      <w:r>
        <w:rPr>
          <w:lang w:eastAsia="zh-CN"/>
        </w:rPr>
        <w:t xml:space="preserve">ся в полипропиленовых </w:t>
      </w:r>
      <w:proofErr w:type="gramStart"/>
      <w:r>
        <w:rPr>
          <w:lang w:eastAsia="zh-CN"/>
        </w:rPr>
        <w:t>мешках</w:t>
      </w:r>
      <w:proofErr w:type="gramEnd"/>
      <w:r>
        <w:rPr>
          <w:lang w:eastAsia="zh-CN"/>
        </w:rPr>
        <w:t xml:space="preserve"> (</w:t>
      </w:r>
      <w:proofErr w:type="spellStart"/>
      <w:r>
        <w:rPr>
          <w:lang w:eastAsia="zh-CN"/>
        </w:rPr>
        <w:t>биг-бэг</w:t>
      </w:r>
      <w:proofErr w:type="spellEnd"/>
      <w:r>
        <w:rPr>
          <w:lang w:eastAsia="zh-CN"/>
        </w:rPr>
        <w:t>) по 1000 кг упаковки</w:t>
      </w:r>
      <w:r w:rsidRPr="00E80205">
        <w:rPr>
          <w:lang w:eastAsia="zh-CN"/>
        </w:rPr>
        <w:t xml:space="preserve"> завода-изготовителя, обеспечивающ</w:t>
      </w:r>
      <w:r>
        <w:rPr>
          <w:lang w:eastAsia="zh-CN"/>
        </w:rPr>
        <w:t>их</w:t>
      </w:r>
      <w:r w:rsidRPr="00E80205">
        <w:rPr>
          <w:lang w:eastAsia="zh-CN"/>
        </w:rPr>
        <w:t xml:space="preserve"> полную сохранность товара при транспортировке</w:t>
      </w:r>
      <w:r w:rsidRPr="00201932">
        <w:rPr>
          <w:lang w:eastAsia="zh-CN"/>
        </w:rPr>
        <w:t>, защищать от внешних атмосферных воздействий.</w:t>
      </w:r>
      <w:r w:rsidRPr="00E80205">
        <w:rPr>
          <w:lang w:eastAsia="zh-CN"/>
        </w:rPr>
        <w:t xml:space="preserve"> Упаковка должна предохранять Товар от всякого рода повреждений, утраты товарного вида с учетом возможных перегрузок в пути и длительного хранения</w:t>
      </w:r>
      <w:r>
        <w:rPr>
          <w:lang w:eastAsia="zh-CN"/>
        </w:rPr>
        <w:t>.</w:t>
      </w:r>
    </w:p>
    <w:p w:rsidR="00E66203" w:rsidRDefault="00E66203" w:rsidP="003D4FBF">
      <w:pPr>
        <w:tabs>
          <w:tab w:val="left" w:pos="709"/>
          <w:tab w:val="left" w:pos="851"/>
        </w:tabs>
        <w:ind w:left="568"/>
        <w:jc w:val="both"/>
        <w:rPr>
          <w:i/>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313E8C" w:rsidRPr="000F3F96" w:rsidRDefault="00313E8C" w:rsidP="00313E8C">
            <w:pPr>
              <w:tabs>
                <w:tab w:val="left" w:pos="284"/>
                <w:tab w:val="left" w:pos="8364"/>
              </w:tabs>
              <w:rPr>
                <w:b/>
                <w:color w:val="000000" w:themeColor="text1"/>
              </w:rPr>
            </w:pPr>
            <w:r w:rsidRPr="000F3F96">
              <w:rPr>
                <w:b/>
              </w:rPr>
              <w:t>Заместитель генерального директора по управлению гостиничным фондом, руководитель дирекции по управлению собственным номерным фондом</w:t>
            </w:r>
          </w:p>
          <w:p w:rsidR="00313E8C" w:rsidRDefault="00313E8C" w:rsidP="00313E8C">
            <w:pPr>
              <w:tabs>
                <w:tab w:val="left" w:pos="284"/>
                <w:tab w:val="left" w:pos="8364"/>
              </w:tabs>
              <w:rPr>
                <w:b/>
                <w:color w:val="000000" w:themeColor="text1"/>
              </w:rPr>
            </w:pPr>
          </w:p>
          <w:p w:rsidR="00313E8C" w:rsidRPr="00F74F07" w:rsidRDefault="00313E8C" w:rsidP="00313E8C">
            <w:pPr>
              <w:tabs>
                <w:tab w:val="left" w:pos="284"/>
                <w:tab w:val="left" w:pos="8364"/>
              </w:tabs>
              <w:rPr>
                <w:b/>
                <w:color w:val="000000" w:themeColor="text1"/>
              </w:rPr>
            </w:pPr>
          </w:p>
          <w:p w:rsidR="00313E8C" w:rsidRPr="00F74F07" w:rsidRDefault="00313E8C" w:rsidP="00313E8C">
            <w:pPr>
              <w:tabs>
                <w:tab w:val="left" w:pos="284"/>
                <w:tab w:val="left" w:pos="8364"/>
              </w:tabs>
              <w:rPr>
                <w:b/>
                <w:color w:val="000000" w:themeColor="text1"/>
              </w:rPr>
            </w:pPr>
            <w:r w:rsidRPr="00F74F07">
              <w:rPr>
                <w:b/>
                <w:color w:val="000000" w:themeColor="text1"/>
                <w:sz w:val="22"/>
                <w:szCs w:val="22"/>
              </w:rPr>
              <w:t>________________/</w:t>
            </w:r>
            <w:r>
              <w:rPr>
                <w:b/>
                <w:color w:val="000000" w:themeColor="text1"/>
                <w:sz w:val="22"/>
                <w:szCs w:val="22"/>
              </w:rPr>
              <w:t>В</w:t>
            </w:r>
            <w:r w:rsidRPr="00F74F07">
              <w:rPr>
                <w:b/>
                <w:color w:val="000000" w:themeColor="text1"/>
                <w:sz w:val="22"/>
                <w:szCs w:val="22"/>
              </w:rPr>
              <w:t xml:space="preserve">.В. </w:t>
            </w:r>
            <w:r>
              <w:rPr>
                <w:b/>
                <w:color w:val="000000" w:themeColor="text1"/>
                <w:sz w:val="22"/>
                <w:szCs w:val="22"/>
              </w:rPr>
              <w:t>Попандопуло</w:t>
            </w:r>
            <w:r w:rsidRPr="00F74F07">
              <w:rPr>
                <w:b/>
                <w:color w:val="000000" w:themeColor="text1"/>
                <w:sz w:val="22"/>
                <w:szCs w:val="22"/>
              </w:rPr>
              <w:t>/</w:t>
            </w:r>
          </w:p>
          <w:p w:rsidR="00337EB5" w:rsidRPr="006466FE" w:rsidRDefault="00313E8C" w:rsidP="00313E8C">
            <w:pPr>
              <w:tabs>
                <w:tab w:val="left" w:pos="284"/>
                <w:tab w:val="left" w:pos="8364"/>
              </w:tabs>
              <w:rPr>
                <w:b/>
                <w:color w:val="000000" w:themeColor="text1"/>
              </w:rPr>
            </w:pPr>
            <w:r w:rsidRPr="00F74F07">
              <w:rPr>
                <w:b/>
                <w:color w:val="000000" w:themeColor="text1"/>
                <w:sz w:val="22"/>
                <w:szCs w:val="22"/>
              </w:rPr>
              <w:t>М.П.</w:t>
            </w: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313E8C" w:rsidRDefault="00313E8C" w:rsidP="008E7427">
            <w:pPr>
              <w:tabs>
                <w:tab w:val="left" w:pos="284"/>
                <w:tab w:val="left" w:pos="8364"/>
              </w:tabs>
              <w:rPr>
                <w:b/>
                <w:color w:val="000000" w:themeColor="text1"/>
              </w:rPr>
            </w:pPr>
          </w:p>
          <w:p w:rsidR="00313E8C" w:rsidRDefault="00313E8C" w:rsidP="008E7427">
            <w:pPr>
              <w:tabs>
                <w:tab w:val="left" w:pos="284"/>
                <w:tab w:val="left" w:pos="8364"/>
              </w:tabs>
              <w:rPr>
                <w:b/>
                <w:color w:val="000000" w:themeColor="text1"/>
              </w:rPr>
            </w:pPr>
          </w:p>
          <w:p w:rsidR="00313E8C" w:rsidRDefault="00313E8C" w:rsidP="008E7427">
            <w:pPr>
              <w:tabs>
                <w:tab w:val="left" w:pos="284"/>
                <w:tab w:val="left" w:pos="8364"/>
              </w:tabs>
              <w:rPr>
                <w:b/>
                <w:color w:val="000000" w:themeColor="text1"/>
              </w:rPr>
            </w:pPr>
          </w:p>
          <w:p w:rsidR="00313E8C" w:rsidRDefault="00313E8C"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313E8C" w:rsidP="00313E8C">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013" w:rsidRDefault="00466013">
      <w:r>
        <w:separator/>
      </w:r>
    </w:p>
  </w:endnote>
  <w:endnote w:type="continuationSeparator" w:id="0">
    <w:p w:rsidR="00466013" w:rsidRDefault="00466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386E3D" w:rsidRDefault="00386E3D" w:rsidP="00264B22">
        <w:pPr>
          <w:pStyle w:val="af5"/>
          <w:jc w:val="right"/>
        </w:pPr>
        <w:r>
          <w:fldChar w:fldCharType="begin"/>
        </w:r>
        <w:r>
          <w:instrText>PAGE   \* MERGEFORMAT</w:instrText>
        </w:r>
        <w:r>
          <w:fldChar w:fldCharType="separate"/>
        </w:r>
        <w:r w:rsidR="00D820C0">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013" w:rsidRDefault="00466013">
      <w:r>
        <w:separator/>
      </w:r>
    </w:p>
  </w:footnote>
  <w:footnote w:type="continuationSeparator" w:id="0">
    <w:p w:rsidR="00466013" w:rsidRDefault="00466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E3D" w:rsidRDefault="00386E3D"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86E3D" w:rsidRDefault="00386E3D">
    <w:pPr>
      <w:pStyle w:val="a3"/>
    </w:pPr>
  </w:p>
  <w:p w:rsidR="00386E3D" w:rsidRDefault="00386E3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87710"/>
    <w:rsid w:val="00087914"/>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E8C"/>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6E3D"/>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744"/>
    <w:rsid w:val="0046192A"/>
    <w:rsid w:val="00462564"/>
    <w:rsid w:val="00466013"/>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E7D1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3541"/>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51C"/>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4F3A"/>
    <w:rsid w:val="00A96C42"/>
    <w:rsid w:val="00A9726B"/>
    <w:rsid w:val="00AA3004"/>
    <w:rsid w:val="00AA52A0"/>
    <w:rsid w:val="00AA5CE4"/>
    <w:rsid w:val="00AB55E2"/>
    <w:rsid w:val="00AC0026"/>
    <w:rsid w:val="00AC20AC"/>
    <w:rsid w:val="00AC4EE3"/>
    <w:rsid w:val="00AC7E5E"/>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B77F5"/>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20C0"/>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25230"/>
    <w:rsid w:val="00F3266A"/>
    <w:rsid w:val="00F330DE"/>
    <w:rsid w:val="00F331D8"/>
    <w:rsid w:val="00F36439"/>
    <w:rsid w:val="00F403B7"/>
    <w:rsid w:val="00F40DF6"/>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A96462-D22C-444F-AA11-B853C49E4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5380</Words>
  <Characters>30668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12</cp:revision>
  <cp:lastPrinted>2016-04-25T15:52:00Z</cp:lastPrinted>
  <dcterms:created xsi:type="dcterms:W3CDTF">2017-05-22T12:41:00Z</dcterms:created>
  <dcterms:modified xsi:type="dcterms:W3CDTF">2017-08-30T13:33:00Z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