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E10D18">
        <w:rPr>
          <w:b/>
          <w:sz w:val="22"/>
          <w:szCs w:val="22"/>
        </w:rPr>
        <w:t>водосточной системы</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F01053">
        <w:rPr>
          <w:b/>
          <w:sz w:val="22"/>
          <w:szCs w:val="22"/>
        </w:rPr>
        <w:t>спецодежду и средства индивидуальной защиты для нужд отдела энергоснабжения</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r w:rsidR="0061435E">
        <w:rPr>
          <w:sz w:val="22"/>
          <w:szCs w:val="22"/>
        </w:rPr>
        <w:t>-</w:t>
      </w:r>
      <w:r w:rsidR="00F72D27" w:rsidRPr="007C0AB7">
        <w:rPr>
          <w:sz w:val="22"/>
          <w:szCs w:val="22"/>
        </w:rPr>
        <w:t>садок</w:t>
      </w:r>
      <w:proofErr w:type="spellEnd"/>
      <w:r w:rsidR="00F72D27" w:rsidRPr="007C0AB7">
        <w:rPr>
          <w:sz w:val="22"/>
          <w:szCs w:val="22"/>
        </w:rPr>
        <w:t>,</w:t>
      </w:r>
      <w:r w:rsidR="00FD7FD0">
        <w:rPr>
          <w:sz w:val="22"/>
          <w:szCs w:val="22"/>
        </w:rPr>
        <w:t xml:space="preserve"> </w:t>
      </w:r>
      <w:proofErr w:type="spellStart"/>
      <w:r w:rsidR="00FD7FD0">
        <w:rPr>
          <w:sz w:val="22"/>
          <w:szCs w:val="22"/>
        </w:rPr>
        <w:t>наб</w:t>
      </w:r>
      <w:proofErr w:type="spellEnd"/>
      <w:r w:rsidR="00FD7FD0">
        <w:rPr>
          <w:sz w:val="22"/>
          <w:szCs w:val="22"/>
        </w:rPr>
        <w:t xml:space="preserve">. Времена года, </w:t>
      </w:r>
      <w:proofErr w:type="spellStart"/>
      <w:r w:rsidR="00FD7FD0">
        <w:rPr>
          <w:sz w:val="22"/>
          <w:szCs w:val="22"/>
        </w:rPr>
        <w:t>апарт</w:t>
      </w:r>
      <w:proofErr w:type="spellEnd"/>
      <w:r w:rsidR="00FD7FD0">
        <w:rPr>
          <w:sz w:val="22"/>
          <w:szCs w:val="22"/>
        </w:rPr>
        <w:t>. Отель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F01053">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581C8B">
        <w:rPr>
          <w:sz w:val="22"/>
          <w:szCs w:val="22"/>
        </w:rPr>
        <w:t>10</w:t>
      </w:r>
      <w:r w:rsidR="00165FFC">
        <w:rPr>
          <w:sz w:val="22"/>
          <w:szCs w:val="22"/>
        </w:rPr>
        <w:t xml:space="preserve"> </w:t>
      </w:r>
      <w:r w:rsidR="0046192A" w:rsidRPr="00D13975">
        <w:rPr>
          <w:sz w:val="22"/>
          <w:szCs w:val="22"/>
        </w:rPr>
        <w:t>(</w:t>
      </w:r>
      <w:r w:rsidR="00581C8B">
        <w:rPr>
          <w:sz w:val="22"/>
          <w:szCs w:val="22"/>
        </w:rPr>
        <w:t>дес</w:t>
      </w:r>
      <w:r w:rsidR="00702E8F">
        <w:rPr>
          <w:sz w:val="22"/>
          <w:szCs w:val="22"/>
        </w:rPr>
        <w:t>яти</w:t>
      </w:r>
      <w:r w:rsidR="00165FFC">
        <w:rPr>
          <w:sz w:val="22"/>
          <w:szCs w:val="22"/>
        </w:rPr>
        <w:t>)</w:t>
      </w:r>
      <w:r w:rsidR="00D13975" w:rsidRPr="00D13975">
        <w:rPr>
          <w:sz w:val="22"/>
          <w:szCs w:val="22"/>
        </w:rPr>
        <w:t xml:space="preserve"> </w:t>
      </w:r>
      <w:r w:rsidR="00702E8F">
        <w:rPr>
          <w:sz w:val="22"/>
          <w:szCs w:val="22"/>
        </w:rPr>
        <w:t xml:space="preserve">рабочих </w:t>
      </w:r>
      <w:r w:rsidR="0046192A" w:rsidRPr="00D13975">
        <w:rPr>
          <w:sz w:val="22"/>
          <w:szCs w:val="22"/>
        </w:rPr>
        <w:t>дн</w:t>
      </w:r>
      <w:r w:rsidR="00D76EB8" w:rsidRPr="00D13975">
        <w:rPr>
          <w:sz w:val="22"/>
          <w:szCs w:val="22"/>
        </w:rPr>
        <w:t>ей</w:t>
      </w:r>
      <w:r w:rsidR="00702E8F">
        <w:rPr>
          <w:sz w:val="22"/>
          <w:szCs w:val="22"/>
        </w:rPr>
        <w:t xml:space="preserve"> с</w:t>
      </w:r>
      <w:r w:rsidR="0046192A" w:rsidRPr="00D13975">
        <w:rPr>
          <w:sz w:val="22"/>
          <w:szCs w:val="22"/>
        </w:rPr>
        <w:t xml:space="preserve"> </w:t>
      </w:r>
      <w:r w:rsidR="00702E8F">
        <w:rPr>
          <w:sz w:val="22"/>
          <w:szCs w:val="22"/>
        </w:rPr>
        <w:t>момента получения Поставщиком</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8D4BA1">
        <w:rPr>
          <w:sz w:val="22"/>
          <w:szCs w:val="22"/>
          <w:u w:val="single"/>
          <w:lang w:val="en-US"/>
        </w:rPr>
        <w:t>p</w:t>
      </w:r>
      <w:r w:rsidR="005264FA">
        <w:rPr>
          <w:sz w:val="22"/>
          <w:szCs w:val="22"/>
          <w:u w:val="single"/>
          <w:lang w:val="tr-TR"/>
        </w:rPr>
        <w:t>.</w:t>
      </w:r>
      <w:r w:rsidR="008D4BA1">
        <w:rPr>
          <w:sz w:val="22"/>
          <w:szCs w:val="22"/>
          <w:u w:val="single"/>
          <w:lang w:val="tr-TR"/>
        </w:rPr>
        <w:t>formagin</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w:t>
      </w:r>
      <w:proofErr w:type="gramStart"/>
      <w:r>
        <w:rPr>
          <w:sz w:val="22"/>
          <w:szCs w:val="22"/>
        </w:rPr>
        <w:t>соответствии</w:t>
      </w:r>
      <w:proofErr w:type="gramEnd"/>
      <w:r>
        <w:rPr>
          <w:sz w:val="22"/>
          <w:szCs w:val="22"/>
        </w:rPr>
        <w:t xml:space="preserve"> со Спецификацией (Приложение № 1к Договору) </w:t>
      </w:r>
      <w:r w:rsidR="00504A03">
        <w:rPr>
          <w:sz w:val="22"/>
          <w:szCs w:val="22"/>
        </w:rPr>
        <w:t xml:space="preserve">составляет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r w:rsidR="00BC64C1">
        <w:rPr>
          <w:sz w:val="22"/>
          <w:szCs w:val="22"/>
        </w:rPr>
        <w:t>рублей ____ копеек</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w:t>
      </w:r>
      <w:r w:rsidR="001A65F9">
        <w:rPr>
          <w:sz w:val="22"/>
          <w:szCs w:val="22"/>
        </w:rPr>
        <w:t xml:space="preserve">о-разгрузочные </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E76659" w:rsidRDefault="00E76659" w:rsidP="00E76659">
      <w:pPr>
        <w:tabs>
          <w:tab w:val="left" w:pos="426"/>
          <w:tab w:val="left" w:pos="851"/>
          <w:tab w:val="left" w:pos="1134"/>
        </w:tabs>
        <w:ind w:firstLine="567"/>
        <w:jc w:val="both"/>
        <w:rPr>
          <w:sz w:val="22"/>
          <w:szCs w:val="22"/>
        </w:rPr>
      </w:pPr>
      <w:r>
        <w:rPr>
          <w:sz w:val="22"/>
          <w:szCs w:val="22"/>
        </w:rPr>
        <w:t xml:space="preserve">4.3.1. </w:t>
      </w:r>
      <w:r w:rsidRPr="007C0AB7">
        <w:rPr>
          <w:sz w:val="22"/>
          <w:szCs w:val="22"/>
        </w:rPr>
        <w:t xml:space="preserve"> авансовый платеж в </w:t>
      </w:r>
      <w:proofErr w:type="gramStart"/>
      <w:r w:rsidRPr="007C0AB7">
        <w:rPr>
          <w:sz w:val="22"/>
          <w:szCs w:val="22"/>
        </w:rPr>
        <w:t>размере</w:t>
      </w:r>
      <w:proofErr w:type="gramEnd"/>
      <w:r w:rsidRPr="007C0AB7">
        <w:rPr>
          <w:sz w:val="22"/>
          <w:szCs w:val="22"/>
        </w:rPr>
        <w:t xml:space="preserve"> </w:t>
      </w:r>
      <w:r>
        <w:rPr>
          <w:sz w:val="22"/>
          <w:szCs w:val="22"/>
        </w:rPr>
        <w:t>50%</w:t>
      </w:r>
      <w:r w:rsidRPr="007C0AB7">
        <w:rPr>
          <w:sz w:val="22"/>
          <w:szCs w:val="22"/>
        </w:rPr>
        <w:t xml:space="preserve"> (</w:t>
      </w:r>
      <w:r>
        <w:rPr>
          <w:sz w:val="22"/>
          <w:szCs w:val="22"/>
        </w:rPr>
        <w:t>пятидесяти</w:t>
      </w:r>
      <w:r w:rsidRPr="007C0AB7">
        <w:rPr>
          <w:sz w:val="22"/>
          <w:szCs w:val="22"/>
        </w:rPr>
        <w:t xml:space="preserve"> процентов) от цены Договора, что со</w:t>
      </w:r>
      <w:r>
        <w:rPr>
          <w:sz w:val="22"/>
          <w:szCs w:val="22"/>
        </w:rPr>
        <w:t>ставляет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Pr>
          <w:sz w:val="22"/>
          <w:szCs w:val="22"/>
        </w:rPr>
        <w:t>рублей ____ копеек,</w:t>
      </w:r>
      <w:r w:rsidRPr="007C0AB7">
        <w:rPr>
          <w:sz w:val="22"/>
          <w:szCs w:val="22"/>
        </w:rPr>
        <w:t xml:space="preserve"> в т.ч.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w:t>
      </w:r>
      <w:r w:rsidRPr="00D06BA4">
        <w:rPr>
          <w:sz w:val="22"/>
          <w:szCs w:val="22"/>
        </w:rPr>
        <w:t xml:space="preserve">после подписания Договора обеими Сторонами </w:t>
      </w:r>
      <w:r w:rsidRPr="007C0AB7">
        <w:rPr>
          <w:sz w:val="22"/>
          <w:szCs w:val="22"/>
        </w:rPr>
        <w:t xml:space="preserve">в течение </w:t>
      </w:r>
      <w:r w:rsidRPr="00D06BA4">
        <w:rPr>
          <w:sz w:val="22"/>
          <w:szCs w:val="22"/>
        </w:rPr>
        <w:t>10 (десяти) рабочих дней после получения от Поставщика оригинала счета</w:t>
      </w:r>
      <w:r w:rsidRPr="007C0AB7">
        <w:rPr>
          <w:sz w:val="22"/>
          <w:szCs w:val="22"/>
        </w:rPr>
        <w:t xml:space="preserve"> на оплату. </w:t>
      </w:r>
    </w:p>
    <w:p w:rsidR="00E76659" w:rsidRDefault="00E76659" w:rsidP="00E76659">
      <w:pPr>
        <w:tabs>
          <w:tab w:val="left" w:pos="426"/>
          <w:tab w:val="left" w:pos="851"/>
          <w:tab w:val="left" w:pos="1134"/>
        </w:tabs>
        <w:ind w:firstLine="567"/>
        <w:jc w:val="both"/>
        <w:rPr>
          <w:sz w:val="22"/>
          <w:szCs w:val="22"/>
        </w:rPr>
      </w:pPr>
      <w:r>
        <w:rPr>
          <w:sz w:val="22"/>
          <w:szCs w:val="22"/>
        </w:rPr>
        <w:t xml:space="preserve">4.3.2.  окончательный платеж в </w:t>
      </w:r>
      <w:proofErr w:type="gramStart"/>
      <w:r>
        <w:rPr>
          <w:sz w:val="22"/>
          <w:szCs w:val="22"/>
        </w:rPr>
        <w:t>размере</w:t>
      </w:r>
      <w:proofErr w:type="gramEnd"/>
      <w:r>
        <w:rPr>
          <w:sz w:val="22"/>
          <w:szCs w:val="22"/>
        </w:rPr>
        <w:t xml:space="preserve"> 50% (пятидесяти процентов) </w:t>
      </w:r>
      <w:r w:rsidRPr="007C0AB7">
        <w:rPr>
          <w:sz w:val="22"/>
          <w:szCs w:val="22"/>
        </w:rPr>
        <w:t>от цены Договора, что со</w:t>
      </w:r>
      <w:r>
        <w:rPr>
          <w:sz w:val="22"/>
          <w:szCs w:val="22"/>
        </w:rPr>
        <w:t>ставляет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Pr>
          <w:sz w:val="22"/>
          <w:szCs w:val="22"/>
        </w:rPr>
        <w:t xml:space="preserve"> рублей ____ копеек,</w:t>
      </w:r>
      <w:r w:rsidRPr="007C0AB7">
        <w:rPr>
          <w:sz w:val="22"/>
          <w:szCs w:val="22"/>
        </w:rPr>
        <w:t xml:space="preserve"> в т.ч.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в течение </w:t>
      </w:r>
      <w:r>
        <w:rPr>
          <w:sz w:val="22"/>
          <w:szCs w:val="22"/>
        </w:rPr>
        <w:t>10</w:t>
      </w:r>
      <w:r w:rsidRPr="00D06BA4">
        <w:rPr>
          <w:sz w:val="22"/>
          <w:szCs w:val="22"/>
        </w:rPr>
        <w:t xml:space="preserve"> (</w:t>
      </w:r>
      <w:r>
        <w:rPr>
          <w:sz w:val="22"/>
          <w:szCs w:val="22"/>
        </w:rPr>
        <w:t>дес</w:t>
      </w:r>
      <w:r w:rsidRPr="00D06BA4">
        <w:rPr>
          <w:sz w:val="22"/>
          <w:szCs w:val="22"/>
        </w:rPr>
        <w:t xml:space="preserve">яти) рабочих дней после </w:t>
      </w:r>
      <w:r>
        <w:rPr>
          <w:sz w:val="22"/>
          <w:szCs w:val="22"/>
        </w:rPr>
        <w:t>поставки Товара</w:t>
      </w:r>
      <w:r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w:t>
      </w:r>
      <w:proofErr w:type="gramStart"/>
      <w:r w:rsidRPr="00581C8B">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07C0" w:rsidRPr="00581C8B" w:rsidRDefault="00C407C0" w:rsidP="00C407C0">
      <w:pPr>
        <w:ind w:firstLine="567"/>
        <w:jc w:val="both"/>
        <w:rPr>
          <w:sz w:val="22"/>
          <w:szCs w:val="22"/>
        </w:rPr>
      </w:pPr>
      <w:r w:rsidRPr="00581C8B">
        <w:rPr>
          <w:b/>
          <w:sz w:val="22"/>
          <w:szCs w:val="22"/>
        </w:rPr>
        <w:lastRenderedPageBreak/>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99"/>
        <w:gridCol w:w="1751"/>
        <w:gridCol w:w="6662"/>
        <w:gridCol w:w="567"/>
        <w:gridCol w:w="567"/>
        <w:gridCol w:w="1418"/>
        <w:gridCol w:w="1559"/>
        <w:gridCol w:w="1418"/>
      </w:tblGrid>
      <w:tr w:rsidR="007009C3" w:rsidRPr="00B55322" w:rsidTr="00776780">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1751"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662"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567"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567"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4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559"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418" w:type="dxa"/>
          </w:tcPr>
          <w:p w:rsidR="007009C3" w:rsidRPr="00B55322" w:rsidRDefault="007009C3" w:rsidP="007009C3">
            <w:pPr>
              <w:jc w:val="center"/>
            </w:pPr>
            <w:r w:rsidRPr="00B55322">
              <w:t>НДС 18 %, руб.</w:t>
            </w:r>
          </w:p>
        </w:tc>
      </w:tr>
      <w:tr w:rsidR="007009C3" w:rsidRPr="00B55322" w:rsidTr="00776780">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66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567"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567"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vAlign w:val="center"/>
          </w:tcPr>
          <w:p w:rsidR="00E76659" w:rsidRDefault="00E76659" w:rsidP="009C41BF">
            <w:pPr>
              <w:rPr>
                <w:b/>
                <w:bCs/>
              </w:rPr>
            </w:pPr>
            <w:r>
              <w:rPr>
                <w:b/>
                <w:bCs/>
              </w:rPr>
              <w:t>Ботинки высокие «ЭЛЕКТРА Е</w:t>
            </w:r>
            <w:proofErr w:type="gramStart"/>
            <w:r>
              <w:rPr>
                <w:b/>
                <w:bCs/>
              </w:rPr>
              <w:t>4</w:t>
            </w:r>
            <w:proofErr w:type="gramEnd"/>
            <w:r>
              <w:rPr>
                <w:b/>
                <w:bCs/>
              </w:rPr>
              <w:t>»</w:t>
            </w:r>
          </w:p>
          <w:p w:rsidR="00E76659" w:rsidRDefault="00E76659" w:rsidP="009C41BF">
            <w:pPr>
              <w:rPr>
                <w:b/>
                <w:bCs/>
              </w:rPr>
            </w:pPr>
            <w:r>
              <w:rPr>
                <w:b/>
                <w:bCs/>
                <w:color w:val="000000"/>
              </w:rPr>
              <w:t xml:space="preserve">с контрастной </w:t>
            </w:r>
            <w:proofErr w:type="spellStart"/>
            <w:r>
              <w:rPr>
                <w:b/>
                <w:bCs/>
                <w:color w:val="000000"/>
              </w:rPr>
              <w:t>отстрочкой</w:t>
            </w:r>
            <w:proofErr w:type="spellEnd"/>
            <w:r>
              <w:rPr>
                <w:b/>
                <w:bCs/>
                <w:color w:val="000000"/>
              </w:rPr>
              <w:t>.</w:t>
            </w:r>
          </w:p>
        </w:tc>
        <w:tc>
          <w:tcPr>
            <w:tcW w:w="6662" w:type="dxa"/>
            <w:tcBorders>
              <w:top w:val="nil"/>
            </w:tcBorders>
          </w:tcPr>
          <w:p w:rsidR="00E76659" w:rsidRDefault="00E76659" w:rsidP="009C41BF">
            <w:pPr>
              <w:rPr>
                <w:b/>
                <w:bCs/>
              </w:rPr>
            </w:pPr>
            <w:r>
              <w:rPr>
                <w:b/>
                <w:bCs/>
              </w:rPr>
              <w:t>Ботинки высокие «ЭЛЕКТРА Е</w:t>
            </w:r>
            <w:proofErr w:type="gramStart"/>
            <w:r>
              <w:rPr>
                <w:b/>
                <w:bCs/>
              </w:rPr>
              <w:t>4</w:t>
            </w:r>
            <w:proofErr w:type="gramEnd"/>
            <w:r>
              <w:rPr>
                <w:b/>
                <w:bCs/>
              </w:rPr>
              <w:t>»</w:t>
            </w:r>
          </w:p>
          <w:p w:rsidR="00E76659" w:rsidRDefault="00E76659" w:rsidP="009C41BF">
            <w:pPr>
              <w:rPr>
                <w:b/>
                <w:bCs/>
              </w:rPr>
            </w:pPr>
            <w:r>
              <w:rPr>
                <w:b/>
                <w:bCs/>
              </w:rPr>
              <w:t xml:space="preserve">с контрастной </w:t>
            </w:r>
            <w:proofErr w:type="spellStart"/>
            <w:r>
              <w:rPr>
                <w:b/>
                <w:bCs/>
              </w:rPr>
              <w:t>отстрочкой</w:t>
            </w:r>
            <w:proofErr w:type="spellEnd"/>
            <w:r>
              <w:rPr>
                <w:b/>
                <w:bCs/>
              </w:rPr>
              <w:t>.</w:t>
            </w:r>
          </w:p>
          <w:p w:rsidR="00E76659" w:rsidRDefault="00E76659" w:rsidP="009C41BF">
            <w:proofErr w:type="gramStart"/>
            <w:r>
              <w:t>Материал верха: натуральная термостойкая кожа (огнестойкая юфть) прошитая нитками «</w:t>
            </w:r>
            <w:proofErr w:type="spellStart"/>
            <w:r>
              <w:t>Номекс</w:t>
            </w:r>
            <w:proofErr w:type="spellEnd"/>
            <w:r>
              <w:t xml:space="preserve">» </w:t>
            </w:r>
            <w:r w:rsidR="00776780">
              <w:t xml:space="preserve"> </w:t>
            </w:r>
            <w:r>
              <w:t>Подкладка: дышащий текстильный материал, спилок подкладочный</w:t>
            </w:r>
            <w:r w:rsidR="00776780">
              <w:t xml:space="preserve"> </w:t>
            </w:r>
            <w:r>
              <w:t>Подносок: композит (200 Дж)</w:t>
            </w:r>
            <w:r w:rsidR="00776780">
              <w:t xml:space="preserve"> </w:t>
            </w:r>
            <w:r>
              <w:t>Тип подошвы: двухслойная</w:t>
            </w:r>
            <w:r w:rsidR="00776780">
              <w:t xml:space="preserve"> </w:t>
            </w:r>
            <w:r>
              <w:t>Подошва: полиуретан/ нитрильная резина (от -40°C до +300°C (60 с))</w:t>
            </w:r>
            <w:proofErr w:type="gramEnd"/>
          </w:p>
          <w:p w:rsidR="00E76659" w:rsidRDefault="00E76659" w:rsidP="00776780">
            <w:r>
              <w:t>Метод крепления: литьевой</w:t>
            </w:r>
            <w:r w:rsidR="00776780">
              <w:t xml:space="preserve"> </w:t>
            </w:r>
            <w:r>
              <w:t>Фурнитура: термостойкий пластик (полное отсутствие металлических элементов)</w:t>
            </w:r>
            <w:r w:rsidR="00776780">
              <w:t xml:space="preserve"> </w:t>
            </w:r>
            <w:r>
              <w:t>Цвет: черный с синим</w:t>
            </w:r>
            <w:r w:rsidR="00776780">
              <w:t xml:space="preserve"> </w:t>
            </w:r>
            <w:r>
              <w:rPr>
                <w:u w:val="single"/>
              </w:rPr>
              <w:t>Особенности модели:</w:t>
            </w:r>
            <w:r w:rsidR="00776780">
              <w:rPr>
                <w:u w:val="single"/>
              </w:rPr>
              <w:t xml:space="preserve"> </w:t>
            </w:r>
            <w:proofErr w:type="spellStart"/>
            <w:r>
              <w:t>Огнетермостойкие</w:t>
            </w:r>
            <w:proofErr w:type="spellEnd"/>
            <w:r>
              <w:t xml:space="preserve"> шнурки.</w:t>
            </w:r>
            <w:r w:rsidR="00776780">
              <w:t xml:space="preserve"> </w:t>
            </w:r>
            <w:r>
              <w:t>Глубокий - противоскользящий, самоочищающийся рисунок протектора.</w:t>
            </w:r>
            <w:r w:rsidR="00776780">
              <w:t xml:space="preserve"> </w:t>
            </w:r>
            <w:r>
              <w:t>Мягкий кант из огнестойкой ткани.</w:t>
            </w:r>
            <w:r w:rsidR="00776780">
              <w:t xml:space="preserve"> </w:t>
            </w:r>
            <w:r>
              <w:t>Глухой клапан предотвращает попадание пыли внутрь.</w:t>
            </w:r>
            <w:r w:rsidR="00776780">
              <w:t xml:space="preserve"> </w:t>
            </w:r>
            <w:r>
              <w:t>Амортизирующая пяточная вставка снижает усталость.</w:t>
            </w:r>
            <w:r w:rsidR="00776780">
              <w:t xml:space="preserve"> </w:t>
            </w:r>
            <w:proofErr w:type="gramStart"/>
            <w:r>
              <w:t>ТР</w:t>
            </w:r>
            <w:proofErr w:type="gramEnd"/>
            <w:r>
              <w:t xml:space="preserve"> ТС 019/2011; ГОСТ 12.4.032-77; ГОСТ 12.4.137-84; ГОСТ 28507-90.</w:t>
            </w:r>
          </w:p>
          <w:p w:rsidR="000075E4" w:rsidRDefault="000075E4" w:rsidP="00776780">
            <w:r>
              <w:t>Размеры: 41 – 4 пары, 42 – 7 пар, 43 – 3 пары, 44 – 2 пары, 45 – 2 пары, 46 – 2 пары.</w:t>
            </w:r>
          </w:p>
        </w:tc>
        <w:tc>
          <w:tcPr>
            <w:tcW w:w="567" w:type="dxa"/>
            <w:tcBorders>
              <w:top w:val="nil"/>
            </w:tcBorders>
            <w:vAlign w:val="center"/>
          </w:tcPr>
          <w:p w:rsidR="00E76659" w:rsidRDefault="00E76659" w:rsidP="009C41BF">
            <w:pPr>
              <w:jc w:val="center"/>
            </w:pPr>
            <w:r>
              <w:rPr>
                <w:color w:val="000000"/>
              </w:rPr>
              <w:t>пар.</w:t>
            </w:r>
          </w:p>
        </w:tc>
        <w:tc>
          <w:tcPr>
            <w:tcW w:w="567" w:type="dxa"/>
            <w:tcBorders>
              <w:top w:val="nil"/>
            </w:tcBorders>
            <w:vAlign w:val="center"/>
          </w:tcPr>
          <w:p w:rsidR="00E76659" w:rsidRDefault="00E76659" w:rsidP="009C41BF">
            <w:pPr>
              <w:jc w:val="center"/>
            </w:pPr>
            <w:r>
              <w:rPr>
                <w:color w:val="000000"/>
              </w:rPr>
              <w:t>20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1751" w:type="dxa"/>
            <w:tcBorders>
              <w:top w:val="nil"/>
            </w:tcBorders>
            <w:vAlign w:val="center"/>
          </w:tcPr>
          <w:p w:rsidR="00E76659" w:rsidRDefault="00E76659" w:rsidP="009C41BF">
            <w:pPr>
              <w:rPr>
                <w:b/>
                <w:bCs/>
              </w:rPr>
            </w:pPr>
            <w:r>
              <w:rPr>
                <w:b/>
                <w:bCs/>
                <w:color w:val="000000"/>
              </w:rPr>
              <w:t xml:space="preserve">Перчатки трикотажные </w:t>
            </w:r>
            <w:proofErr w:type="spellStart"/>
            <w:r>
              <w:rPr>
                <w:b/>
                <w:bCs/>
                <w:color w:val="000000"/>
              </w:rPr>
              <w:t>огнетермостойкие</w:t>
            </w:r>
            <w:proofErr w:type="spellEnd"/>
            <w:r>
              <w:rPr>
                <w:b/>
                <w:bCs/>
                <w:color w:val="000000"/>
              </w:rPr>
              <w:t xml:space="preserve"> ИТП-1</w:t>
            </w:r>
          </w:p>
        </w:tc>
        <w:tc>
          <w:tcPr>
            <w:tcW w:w="6662" w:type="dxa"/>
            <w:tcBorders>
              <w:top w:val="nil"/>
            </w:tcBorders>
            <w:vAlign w:val="center"/>
          </w:tcPr>
          <w:p w:rsidR="00E76659" w:rsidRDefault="00E76659" w:rsidP="009C41BF">
            <w:pPr>
              <w:rPr>
                <w:b/>
                <w:bCs/>
              </w:rPr>
            </w:pPr>
            <w:r>
              <w:rPr>
                <w:b/>
                <w:bCs/>
              </w:rPr>
              <w:t xml:space="preserve">Перчатки </w:t>
            </w:r>
            <w:r>
              <w:rPr>
                <w:b/>
                <w:bCs/>
                <w:color w:val="000000"/>
              </w:rPr>
              <w:t xml:space="preserve">трикотажные </w:t>
            </w:r>
            <w:proofErr w:type="spellStart"/>
            <w:r>
              <w:rPr>
                <w:b/>
                <w:bCs/>
                <w:color w:val="000000"/>
              </w:rPr>
              <w:t>огнетермостойкие</w:t>
            </w:r>
            <w:proofErr w:type="spellEnd"/>
            <w:r>
              <w:rPr>
                <w:b/>
                <w:bCs/>
              </w:rPr>
              <w:t xml:space="preserve"> ИТП-1</w:t>
            </w:r>
          </w:p>
          <w:p w:rsidR="00E76659" w:rsidRDefault="00E76659" w:rsidP="009C41BF">
            <w:r>
              <w:t>Материал: метаарамид-100%</w:t>
            </w:r>
            <w:r w:rsidR="00776780">
              <w:t xml:space="preserve"> </w:t>
            </w:r>
            <w:r>
              <w:t>Уровень защиты: 15,7 кал/см</w:t>
            </w:r>
            <w:proofErr w:type="gramStart"/>
            <w:r>
              <w:t>2</w:t>
            </w:r>
            <w:proofErr w:type="gramEnd"/>
            <w:r>
              <w:t xml:space="preserve"> </w:t>
            </w:r>
          </w:p>
          <w:p w:rsidR="00E76659" w:rsidRDefault="00E76659" w:rsidP="009C41BF">
            <w:r>
              <w:t>Цвет: черный</w:t>
            </w:r>
            <w:r w:rsidR="00776780">
              <w:t xml:space="preserve"> </w:t>
            </w:r>
            <w:r>
              <w:rPr>
                <w:u w:val="single"/>
              </w:rPr>
              <w:t xml:space="preserve">Особенности </w:t>
            </w:r>
            <w:proofErr w:type="spellStart"/>
            <w:r>
              <w:rPr>
                <w:u w:val="single"/>
              </w:rPr>
              <w:t>модели</w:t>
            </w:r>
            <w:proofErr w:type="gramStart"/>
            <w:r>
              <w:rPr>
                <w:u w:val="single"/>
              </w:rPr>
              <w:t>:</w:t>
            </w:r>
            <w:r>
              <w:t>О</w:t>
            </w:r>
            <w:proofErr w:type="gramEnd"/>
            <w:r>
              <w:t>беспечивают</w:t>
            </w:r>
            <w:proofErr w:type="spellEnd"/>
            <w:r>
              <w:t xml:space="preserve"> надежную защиту от термических рисков электрической дуги и повышенных температур.</w:t>
            </w:r>
            <w:r w:rsidR="00776780">
              <w:t xml:space="preserve"> </w:t>
            </w:r>
            <w:r>
              <w:t>Высокая прочность к механическим воздействиям.</w:t>
            </w:r>
            <w:r w:rsidR="00776780">
              <w:t xml:space="preserve"> </w:t>
            </w:r>
            <w:r>
              <w:t xml:space="preserve">Высокая тактильная чувствительность, обеспечивает точность движений при работе с </w:t>
            </w:r>
            <w:proofErr w:type="spellStart"/>
            <w:r>
              <w:t>электрикой</w:t>
            </w:r>
            <w:proofErr w:type="spellEnd"/>
            <w:r>
              <w:t>.</w:t>
            </w:r>
          </w:p>
          <w:p w:rsidR="00E76659" w:rsidRDefault="00E76659" w:rsidP="009C41BF">
            <w:proofErr w:type="gramStart"/>
            <w:r>
              <w:lastRenderedPageBreak/>
              <w:t>ТР</w:t>
            </w:r>
            <w:proofErr w:type="gramEnd"/>
            <w:r>
              <w:t xml:space="preserve"> ТС 019/2011; ГОСТ Р 12.4.246-2008;</w:t>
            </w:r>
          </w:p>
          <w:p w:rsidR="00E76659" w:rsidRPr="005F6759" w:rsidRDefault="00E76659" w:rsidP="009C41BF">
            <w:r>
              <w:t>ТУ 8444-065-49957293-2006.</w:t>
            </w:r>
          </w:p>
        </w:tc>
        <w:tc>
          <w:tcPr>
            <w:tcW w:w="567" w:type="dxa"/>
            <w:tcBorders>
              <w:top w:val="nil"/>
            </w:tcBorders>
            <w:vAlign w:val="center"/>
          </w:tcPr>
          <w:p w:rsidR="00E76659" w:rsidRDefault="00E76659" w:rsidP="009C41BF">
            <w:pPr>
              <w:jc w:val="center"/>
            </w:pPr>
            <w:r>
              <w:rPr>
                <w:color w:val="000000"/>
              </w:rPr>
              <w:lastRenderedPageBreak/>
              <w:t>пар.</w:t>
            </w:r>
          </w:p>
        </w:tc>
        <w:tc>
          <w:tcPr>
            <w:tcW w:w="567" w:type="dxa"/>
            <w:tcBorders>
              <w:top w:val="nil"/>
            </w:tcBorders>
            <w:vAlign w:val="center"/>
          </w:tcPr>
          <w:p w:rsidR="00E76659" w:rsidRDefault="00E76659" w:rsidP="009C41BF">
            <w:pPr>
              <w:jc w:val="center"/>
            </w:pPr>
            <w:r>
              <w:rPr>
                <w:color w:val="000000"/>
              </w:rPr>
              <w:t>20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lastRenderedPageBreak/>
              <w:t>3</w:t>
            </w:r>
          </w:p>
        </w:tc>
        <w:tc>
          <w:tcPr>
            <w:tcW w:w="1751" w:type="dxa"/>
            <w:tcBorders>
              <w:top w:val="nil"/>
            </w:tcBorders>
            <w:vAlign w:val="center"/>
          </w:tcPr>
          <w:p w:rsidR="00E76659" w:rsidRDefault="00E76659" w:rsidP="009C41BF">
            <w:pPr>
              <w:rPr>
                <w:b/>
                <w:bCs/>
              </w:rPr>
            </w:pPr>
            <w:r>
              <w:rPr>
                <w:b/>
                <w:bCs/>
                <w:color w:val="000000"/>
              </w:rPr>
              <w:t xml:space="preserve">Костюм «Электра Л-1 </w:t>
            </w:r>
            <w:proofErr w:type="spellStart"/>
            <w:r>
              <w:rPr>
                <w:b/>
                <w:bCs/>
                <w:color w:val="000000"/>
              </w:rPr>
              <w:t>БиО</w:t>
            </w:r>
            <w:proofErr w:type="spellEnd"/>
            <w:r>
              <w:rPr>
                <w:b/>
                <w:bCs/>
                <w:color w:val="000000"/>
              </w:rPr>
              <w:t xml:space="preserve"> </w:t>
            </w:r>
            <w:proofErr w:type="gramStart"/>
            <w:r>
              <w:rPr>
                <w:b/>
                <w:bCs/>
                <w:color w:val="000000"/>
              </w:rPr>
              <w:t>СО</w:t>
            </w:r>
            <w:proofErr w:type="gramEnd"/>
            <w:r>
              <w:rPr>
                <w:b/>
                <w:bCs/>
                <w:color w:val="000000"/>
              </w:rPr>
              <w:t>»</w:t>
            </w:r>
          </w:p>
        </w:tc>
        <w:tc>
          <w:tcPr>
            <w:tcW w:w="6662" w:type="dxa"/>
            <w:tcBorders>
              <w:top w:val="nil"/>
            </w:tcBorders>
          </w:tcPr>
          <w:p w:rsidR="00E76659" w:rsidRDefault="00E76659" w:rsidP="009C41BF">
            <w:pPr>
              <w:rPr>
                <w:b/>
                <w:bCs/>
              </w:rPr>
            </w:pPr>
            <w:r>
              <w:rPr>
                <w:b/>
                <w:bCs/>
              </w:rPr>
              <w:t xml:space="preserve">Костюм </w:t>
            </w:r>
            <w:r>
              <w:rPr>
                <w:b/>
                <w:bCs/>
                <w:color w:val="000000"/>
              </w:rPr>
              <w:t xml:space="preserve">«Электра Л-1 </w:t>
            </w:r>
            <w:proofErr w:type="spellStart"/>
            <w:r>
              <w:rPr>
                <w:b/>
                <w:bCs/>
                <w:color w:val="000000"/>
              </w:rPr>
              <w:t>БиО</w:t>
            </w:r>
            <w:proofErr w:type="spellEnd"/>
            <w:r>
              <w:rPr>
                <w:b/>
                <w:bCs/>
                <w:color w:val="000000"/>
              </w:rPr>
              <w:t xml:space="preserve"> </w:t>
            </w:r>
            <w:proofErr w:type="gramStart"/>
            <w:r>
              <w:rPr>
                <w:b/>
                <w:bCs/>
                <w:color w:val="000000"/>
              </w:rPr>
              <w:t>СО</w:t>
            </w:r>
            <w:proofErr w:type="gramEnd"/>
            <w:r>
              <w:rPr>
                <w:b/>
                <w:bCs/>
                <w:color w:val="000000"/>
              </w:rPr>
              <w:t>»</w:t>
            </w:r>
          </w:p>
          <w:p w:rsidR="00E76659" w:rsidRDefault="00E76659" w:rsidP="009C41BF">
            <w:r>
              <w:t>Комплектация: куртка, полукомбинезон</w:t>
            </w:r>
            <w:r w:rsidR="00776780">
              <w:t xml:space="preserve"> </w:t>
            </w:r>
            <w:r>
              <w:t>Ткань: «</w:t>
            </w:r>
            <w:proofErr w:type="spellStart"/>
            <w:r>
              <w:t>БиОТерм</w:t>
            </w:r>
            <w:proofErr w:type="spellEnd"/>
            <w:r>
              <w:t>» хлопок-100%, МВО, огнестойкая отделка, антистатическая отделка.</w:t>
            </w:r>
            <w:r w:rsidR="00776780">
              <w:t xml:space="preserve"> </w:t>
            </w:r>
            <w:r>
              <w:t>Уровень защиты: 40кал/см</w:t>
            </w:r>
            <w:proofErr w:type="gramStart"/>
            <w:r>
              <w:t>2</w:t>
            </w:r>
            <w:proofErr w:type="gramEnd"/>
            <w:r>
              <w:t xml:space="preserve"> </w:t>
            </w:r>
            <w:r w:rsidR="00776780">
              <w:t xml:space="preserve"> </w:t>
            </w:r>
            <w:r>
              <w:t>Застежка: на молнии с ветрозащитной планкой на липучке.</w:t>
            </w:r>
            <w:r w:rsidR="00776780">
              <w:t xml:space="preserve"> </w:t>
            </w:r>
            <w:r>
              <w:t>Воротник: стойка</w:t>
            </w:r>
          </w:p>
          <w:p w:rsidR="00E76659" w:rsidRDefault="00E76659" w:rsidP="009C41BF">
            <w:r>
              <w:t>Карманы: два накладных</w:t>
            </w:r>
            <w:r w:rsidR="00776780">
              <w:t xml:space="preserve"> </w:t>
            </w:r>
            <w:r>
              <w:t xml:space="preserve">(объемные) нагрудных с клапанами, два накладных на поясе с клапанами, на левом рукаве карман для рации с клапаном. На брюках </w:t>
            </w:r>
            <w:proofErr w:type="gramStart"/>
            <w:r>
              <w:t>врезные</w:t>
            </w:r>
            <w:proofErr w:type="gramEnd"/>
            <w:r>
              <w:t xml:space="preserve"> с наклонной линией входа.</w:t>
            </w:r>
            <w:r w:rsidR="00776780">
              <w:t xml:space="preserve"> </w:t>
            </w:r>
            <w:r>
              <w:t>Светоотражающая полоса: на уровне кокетки, на рукавах в области предплечий, по низу брюк.</w:t>
            </w:r>
            <w:r w:rsidR="00776780">
              <w:t xml:space="preserve"> </w:t>
            </w:r>
            <w:r>
              <w:t>Цвет: васильковый с красной кокеткой</w:t>
            </w:r>
            <w:r w:rsidR="00776780">
              <w:t xml:space="preserve"> </w:t>
            </w:r>
            <w:r>
              <w:t>Костюм предназначен для электротехнического персонала всех отраслей промышленности.</w:t>
            </w:r>
            <w:r w:rsidR="00776780">
              <w:t xml:space="preserve"> </w:t>
            </w:r>
            <w:r>
              <w:t>Костюм имеет усиление на передней части.</w:t>
            </w:r>
          </w:p>
          <w:p w:rsidR="00E76659" w:rsidRDefault="00E76659" w:rsidP="009C41BF">
            <w:r>
              <w:t>Костюм снабжен усиленными наколенниками.</w:t>
            </w:r>
          </w:p>
          <w:p w:rsidR="00E76659" w:rsidRDefault="00E76659" w:rsidP="009C41BF">
            <w:proofErr w:type="gramStart"/>
            <w:r>
              <w:t>ТР</w:t>
            </w:r>
            <w:proofErr w:type="gramEnd"/>
            <w:r>
              <w:t xml:space="preserve"> ТС 019/2011; ГОСТ Р 12.4.234-2007; ГОСТ Р ИСО 11612-2007; ТУ 8572-022-86546719-2012.</w:t>
            </w:r>
          </w:p>
          <w:p w:rsidR="000075E4" w:rsidRDefault="000075E4" w:rsidP="00BF19CF">
            <w:r>
              <w:t xml:space="preserve">Размеры: 46 – </w:t>
            </w:r>
            <w:r w:rsidR="00BF19CF">
              <w:t>4</w:t>
            </w:r>
            <w:r>
              <w:t xml:space="preserve"> шт., 48 – 4 шт., 50 – 3 шт., 52 – 3 шт., 54 – 2 шт., 56 – 4 шт. </w:t>
            </w:r>
          </w:p>
        </w:tc>
        <w:tc>
          <w:tcPr>
            <w:tcW w:w="567" w:type="dxa"/>
            <w:tcBorders>
              <w:top w:val="nil"/>
            </w:tcBorders>
            <w:vAlign w:val="center"/>
          </w:tcPr>
          <w:p w:rsidR="00E76659" w:rsidRDefault="00E76659" w:rsidP="009C41BF">
            <w:pPr>
              <w:jc w:val="center"/>
            </w:pPr>
            <w:proofErr w:type="spellStart"/>
            <w:r>
              <w:rPr>
                <w:color w:val="000000"/>
              </w:rPr>
              <w:t>компл</w:t>
            </w:r>
            <w:proofErr w:type="spellEnd"/>
            <w:r>
              <w:rPr>
                <w:color w:val="000000"/>
              </w:rPr>
              <w:t>.</w:t>
            </w:r>
          </w:p>
        </w:tc>
        <w:tc>
          <w:tcPr>
            <w:tcW w:w="567" w:type="dxa"/>
            <w:tcBorders>
              <w:top w:val="nil"/>
            </w:tcBorders>
            <w:vAlign w:val="center"/>
          </w:tcPr>
          <w:p w:rsidR="00E76659" w:rsidRDefault="00E76659" w:rsidP="009C41BF">
            <w:pPr>
              <w:jc w:val="center"/>
            </w:pPr>
            <w:r>
              <w:rPr>
                <w:color w:val="000000"/>
              </w:rPr>
              <w:t>20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1751" w:type="dxa"/>
            <w:tcBorders>
              <w:top w:val="nil"/>
            </w:tcBorders>
            <w:vAlign w:val="center"/>
          </w:tcPr>
          <w:p w:rsidR="00E76659" w:rsidRDefault="00E76659" w:rsidP="009C41BF">
            <w:pPr>
              <w:rPr>
                <w:b/>
                <w:bCs/>
              </w:rPr>
            </w:pPr>
            <w:r>
              <w:rPr>
                <w:b/>
                <w:bCs/>
                <w:color w:val="000000"/>
              </w:rPr>
              <w:t>Костюм «Ладога»</w:t>
            </w:r>
          </w:p>
        </w:tc>
        <w:tc>
          <w:tcPr>
            <w:tcW w:w="6662" w:type="dxa"/>
            <w:tcBorders>
              <w:top w:val="nil"/>
            </w:tcBorders>
          </w:tcPr>
          <w:p w:rsidR="00E76659" w:rsidRDefault="00E76659" w:rsidP="009C41BF">
            <w:pPr>
              <w:rPr>
                <w:b/>
                <w:bCs/>
              </w:rPr>
            </w:pPr>
            <w:r>
              <w:rPr>
                <w:b/>
                <w:bCs/>
              </w:rPr>
              <w:t>Костюм «</w:t>
            </w:r>
            <w:r>
              <w:rPr>
                <w:b/>
                <w:bCs/>
                <w:color w:val="000000"/>
              </w:rPr>
              <w:t>Ладога</w:t>
            </w:r>
            <w:r>
              <w:rPr>
                <w:b/>
                <w:bCs/>
              </w:rPr>
              <w:t>»</w:t>
            </w:r>
          </w:p>
          <w:p w:rsidR="00E76659" w:rsidRDefault="00E76659" w:rsidP="009C41BF">
            <w:r>
              <w:t>Комплектация: куртка, брюки</w:t>
            </w:r>
            <w:r w:rsidR="00776780">
              <w:t xml:space="preserve"> </w:t>
            </w:r>
            <w:r>
              <w:t xml:space="preserve">Ткань: саржа С38 ЮД, хлопок - 100%, 250 г/м², </w:t>
            </w:r>
            <w:proofErr w:type="gramStart"/>
            <w:r>
              <w:t>ВО</w:t>
            </w:r>
            <w:proofErr w:type="gramEnd"/>
            <w:r w:rsidR="00776780">
              <w:t xml:space="preserve"> </w:t>
            </w:r>
            <w:r>
              <w:t>Застежка: на молнии</w:t>
            </w:r>
            <w:r w:rsidR="00776780">
              <w:t xml:space="preserve"> </w:t>
            </w:r>
            <w:r>
              <w:t>Воротник: отложной</w:t>
            </w:r>
            <w:r w:rsidR="00776780">
              <w:t xml:space="preserve"> </w:t>
            </w:r>
            <w:r>
              <w:t>Регулировки по ширине: пояс куртки регулируется застежками-хлястиками, пояс брюк - с эластичной лентой</w:t>
            </w:r>
            <w:r w:rsidR="00776780">
              <w:t xml:space="preserve"> </w:t>
            </w:r>
            <w:r>
              <w:t xml:space="preserve">Карманы: с клапанами на кнопках; на брюках  - боковые </w:t>
            </w:r>
            <w:proofErr w:type="spellStart"/>
            <w:r>
              <w:t>полуобъемные</w:t>
            </w:r>
            <w:proofErr w:type="spellEnd"/>
            <w:r>
              <w:t xml:space="preserve"> и задние карманы; карман на рукаве</w:t>
            </w:r>
            <w:r w:rsidR="00776780">
              <w:t xml:space="preserve"> </w:t>
            </w:r>
            <w:r>
              <w:t>Цвет: васильковый с желтым</w:t>
            </w:r>
          </w:p>
          <w:p w:rsidR="00E76659" w:rsidRDefault="00E76659" w:rsidP="009C41BF">
            <w:proofErr w:type="gramStart"/>
            <w:r>
              <w:t>ТР</w:t>
            </w:r>
            <w:proofErr w:type="gramEnd"/>
            <w:r>
              <w:t xml:space="preserve"> ТС 019/2011; ГОСТ 27575-87</w:t>
            </w:r>
          </w:p>
          <w:p w:rsidR="000075E4" w:rsidRDefault="000075E4" w:rsidP="00BF19CF">
            <w:r>
              <w:t xml:space="preserve">Размеры: 46 – </w:t>
            </w:r>
            <w:r w:rsidR="00BF19CF">
              <w:t>5</w:t>
            </w:r>
            <w:r>
              <w:t xml:space="preserve"> шт., 48 – </w:t>
            </w:r>
            <w:r w:rsidR="00BF19CF">
              <w:t>4</w:t>
            </w:r>
            <w:r>
              <w:t xml:space="preserve"> шт., 50 – </w:t>
            </w:r>
            <w:r w:rsidR="00BF19CF">
              <w:t>10</w:t>
            </w:r>
            <w:r>
              <w:t xml:space="preserve"> шт., 52 – </w:t>
            </w:r>
            <w:r w:rsidR="00BF19CF">
              <w:t>6</w:t>
            </w:r>
            <w:r>
              <w:t xml:space="preserve"> шт., 54 – </w:t>
            </w:r>
            <w:r w:rsidR="00BF19CF">
              <w:t>8</w:t>
            </w:r>
            <w:r>
              <w:t xml:space="preserve"> шт., 56 – 6 шт., 58 – 1 шт.</w:t>
            </w:r>
          </w:p>
        </w:tc>
        <w:tc>
          <w:tcPr>
            <w:tcW w:w="567" w:type="dxa"/>
            <w:tcBorders>
              <w:top w:val="nil"/>
            </w:tcBorders>
            <w:vAlign w:val="center"/>
          </w:tcPr>
          <w:p w:rsidR="00E76659" w:rsidRDefault="00E76659" w:rsidP="009C41BF">
            <w:pPr>
              <w:jc w:val="center"/>
            </w:pPr>
            <w:proofErr w:type="spellStart"/>
            <w:r>
              <w:rPr>
                <w:color w:val="000000"/>
              </w:rPr>
              <w:t>компл</w:t>
            </w:r>
            <w:proofErr w:type="spellEnd"/>
            <w:r>
              <w:rPr>
                <w:color w:val="000000"/>
              </w:rPr>
              <w:t>.</w:t>
            </w:r>
          </w:p>
        </w:tc>
        <w:tc>
          <w:tcPr>
            <w:tcW w:w="567" w:type="dxa"/>
            <w:tcBorders>
              <w:top w:val="nil"/>
            </w:tcBorders>
            <w:vAlign w:val="center"/>
          </w:tcPr>
          <w:p w:rsidR="00E76659" w:rsidRDefault="00E76659" w:rsidP="009C41BF">
            <w:pPr>
              <w:jc w:val="center"/>
            </w:pPr>
            <w:r>
              <w:rPr>
                <w:color w:val="000000"/>
              </w:rPr>
              <w:t>40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1751" w:type="dxa"/>
            <w:tcBorders>
              <w:top w:val="nil"/>
            </w:tcBorders>
            <w:vAlign w:val="center"/>
          </w:tcPr>
          <w:p w:rsidR="00E76659" w:rsidRDefault="00E76659" w:rsidP="009C41BF">
            <w:r>
              <w:rPr>
                <w:b/>
                <w:bCs/>
              </w:rPr>
              <w:t>Ботинки «</w:t>
            </w:r>
            <w:proofErr w:type="spellStart"/>
            <w:r>
              <w:rPr>
                <w:b/>
                <w:bCs/>
              </w:rPr>
              <w:t>Форвелд</w:t>
            </w:r>
            <w:proofErr w:type="spellEnd"/>
            <w:r>
              <w:rPr>
                <w:b/>
                <w:bCs/>
              </w:rPr>
              <w:t xml:space="preserve"> М3</w:t>
            </w:r>
            <w:r>
              <w:t>»</w:t>
            </w:r>
          </w:p>
        </w:tc>
        <w:tc>
          <w:tcPr>
            <w:tcW w:w="6662" w:type="dxa"/>
            <w:tcBorders>
              <w:top w:val="nil"/>
            </w:tcBorders>
          </w:tcPr>
          <w:p w:rsidR="00E76659" w:rsidRDefault="00E76659" w:rsidP="009C41BF">
            <w:r>
              <w:rPr>
                <w:b/>
                <w:bCs/>
              </w:rPr>
              <w:t>Ботинки «</w:t>
            </w:r>
            <w:proofErr w:type="spellStart"/>
            <w:r>
              <w:rPr>
                <w:b/>
                <w:bCs/>
              </w:rPr>
              <w:t>Форвелд</w:t>
            </w:r>
            <w:proofErr w:type="spellEnd"/>
            <w:r>
              <w:rPr>
                <w:b/>
                <w:bCs/>
              </w:rPr>
              <w:t xml:space="preserve"> М3</w:t>
            </w:r>
          </w:p>
          <w:p w:rsidR="00E76659" w:rsidRDefault="00E76659" w:rsidP="009C41BF">
            <w:r>
              <w:t>Верх обуви: натуральная кожа (юфть) высочайшего качества.</w:t>
            </w:r>
          </w:p>
          <w:p w:rsidR="00E76659" w:rsidRDefault="00E76659" w:rsidP="009C41BF">
            <w:pPr>
              <w:spacing w:before="40" w:after="40" w:line="220" w:lineRule="exact"/>
              <w:rPr>
                <w:bCs/>
              </w:rPr>
            </w:pPr>
            <w:r>
              <w:rPr>
                <w:bCs/>
              </w:rPr>
              <w:t>Мягкий кант из натуральной кожи с вспененной прослойкой.</w:t>
            </w:r>
          </w:p>
          <w:p w:rsidR="00E76659" w:rsidRDefault="00E76659" w:rsidP="00776780">
            <w:pPr>
              <w:spacing w:before="40" w:after="40" w:line="220" w:lineRule="exact"/>
              <w:rPr>
                <w:bCs/>
              </w:rPr>
            </w:pPr>
            <w:r>
              <w:rPr>
                <w:bCs/>
              </w:rPr>
              <w:t>Глухой клапан предотвращает от попадания пыли.</w:t>
            </w:r>
            <w:r w:rsidR="00776780">
              <w:rPr>
                <w:bCs/>
              </w:rPr>
              <w:t xml:space="preserve"> </w:t>
            </w:r>
            <w:r>
              <w:t>Подносок</w:t>
            </w:r>
            <w:proofErr w:type="gramStart"/>
            <w:r>
              <w:t xml:space="preserve"> :</w:t>
            </w:r>
            <w:proofErr w:type="gramEnd"/>
            <w:r>
              <w:t xml:space="preserve"> композит (200 Дж)</w:t>
            </w:r>
            <w:r w:rsidR="00776780">
              <w:t xml:space="preserve"> </w:t>
            </w:r>
            <w:r>
              <w:rPr>
                <w:u w:val="single"/>
              </w:rPr>
              <w:t>Подошва:</w:t>
            </w:r>
            <w:r w:rsidR="00776780">
              <w:rPr>
                <w:u w:val="single"/>
              </w:rPr>
              <w:t xml:space="preserve"> </w:t>
            </w:r>
            <w:r>
              <w:t>тип подошвы: двухслойная</w:t>
            </w:r>
            <w:r w:rsidR="00776780">
              <w:t xml:space="preserve"> </w:t>
            </w:r>
            <w:r>
              <w:t>м</w:t>
            </w:r>
            <w:r w:rsidRPr="007308E4">
              <w:t xml:space="preserve">етод </w:t>
            </w:r>
            <w:r w:rsidRPr="007308E4">
              <w:lastRenderedPageBreak/>
              <w:t>крепления : литьевой</w:t>
            </w:r>
            <w:r w:rsidR="00776780">
              <w:t xml:space="preserve"> </w:t>
            </w:r>
            <w:r>
              <w:t>Полиуретан / Нитрил (от -40°</w:t>
            </w:r>
            <w:r>
              <w:rPr>
                <w:lang w:val="en-US"/>
              </w:rPr>
              <w:t>C</w:t>
            </w:r>
            <w:r>
              <w:t xml:space="preserve"> до +300°</w:t>
            </w:r>
            <w:r>
              <w:rPr>
                <w:lang w:val="en-US"/>
              </w:rPr>
              <w:t>C</w:t>
            </w:r>
            <w:r>
              <w:t xml:space="preserve"> - (60 сек.) ).</w:t>
            </w:r>
            <w:r w:rsidR="00776780">
              <w:t xml:space="preserve"> </w:t>
            </w:r>
            <w:r>
              <w:rPr>
                <w:bCs/>
              </w:rPr>
              <w:t xml:space="preserve">Дополнительная защита </w:t>
            </w:r>
            <w:proofErr w:type="spellStart"/>
            <w:r>
              <w:rPr>
                <w:bCs/>
              </w:rPr>
              <w:t>Support</w:t>
            </w:r>
            <w:proofErr w:type="spellEnd"/>
            <w:r>
              <w:rPr>
                <w:bCs/>
              </w:rPr>
              <w:t xml:space="preserve"> </w:t>
            </w:r>
            <w:proofErr w:type="spellStart"/>
            <w:r>
              <w:rPr>
                <w:bCs/>
              </w:rPr>
              <w:t>System</w:t>
            </w:r>
            <w:proofErr w:type="spellEnd"/>
            <w:r>
              <w:rPr>
                <w:bCs/>
              </w:rPr>
              <w:t xml:space="preserve"> от удара сзади</w:t>
            </w:r>
            <w:r w:rsidR="00776780">
              <w:rPr>
                <w:bCs/>
              </w:rPr>
              <w:t xml:space="preserve"> </w:t>
            </w:r>
            <w:r>
              <w:rPr>
                <w:bCs/>
              </w:rPr>
              <w:t>и сбоку.</w:t>
            </w:r>
            <w:r w:rsidR="00776780">
              <w:rPr>
                <w:bCs/>
              </w:rPr>
              <w:t xml:space="preserve"> </w:t>
            </w:r>
            <w:r>
              <w:rPr>
                <w:bCs/>
              </w:rPr>
              <w:t>Анатомическая колодка обуви, исключает возможность натирания обуви.</w:t>
            </w:r>
          </w:p>
          <w:p w:rsidR="00E76659" w:rsidRPr="005F6759" w:rsidRDefault="00E76659" w:rsidP="009C41BF">
            <w:pPr>
              <w:spacing w:before="40" w:after="40" w:line="220" w:lineRule="exact"/>
            </w:pPr>
            <w:r>
              <w:t xml:space="preserve">Работа в помещениях или на открытом воздухе в межсезонный период на промышленных предприятиях, </w:t>
            </w:r>
            <w:proofErr w:type="spellStart"/>
            <w:r>
              <w:t>нефте</w:t>
            </w:r>
            <w:proofErr w:type="spellEnd"/>
            <w:r>
              <w:t xml:space="preserve"> - и газодобывающих отраслях, для специалистов и работников ИТР.</w:t>
            </w:r>
          </w:p>
          <w:p w:rsidR="00E76659" w:rsidRDefault="00E76659" w:rsidP="009C41BF">
            <w:r w:rsidRPr="007308E4">
              <w:t xml:space="preserve">Цвет: черный </w:t>
            </w:r>
            <w:r>
              <w:t>с синей отделкой.</w:t>
            </w:r>
          </w:p>
          <w:p w:rsidR="00E76659" w:rsidRDefault="00E76659" w:rsidP="009C41BF">
            <w:proofErr w:type="gramStart"/>
            <w:r>
              <w:t>ТР</w:t>
            </w:r>
            <w:proofErr w:type="gramEnd"/>
            <w:r>
              <w:t xml:space="preserve"> ТС 019/2011;  ГОСТ 12.4.137-84; ГОСТ 28507-90.</w:t>
            </w:r>
          </w:p>
          <w:p w:rsidR="000075E4" w:rsidRDefault="000075E4" w:rsidP="000075E4">
            <w:r>
              <w:t>Размеры: 40 – 1 пара, 41 – 6 пар, 42 – 14 пар, 43 – 9 пар, 44 – 3 пары, 45 – 3 пары, 46 – 4 пары.</w:t>
            </w:r>
          </w:p>
        </w:tc>
        <w:tc>
          <w:tcPr>
            <w:tcW w:w="567" w:type="dxa"/>
            <w:tcBorders>
              <w:top w:val="nil"/>
            </w:tcBorders>
            <w:vAlign w:val="center"/>
          </w:tcPr>
          <w:p w:rsidR="00E76659" w:rsidRDefault="00E76659" w:rsidP="009C41BF">
            <w:pPr>
              <w:jc w:val="center"/>
            </w:pPr>
            <w:r>
              <w:rPr>
                <w:color w:val="000000"/>
              </w:rPr>
              <w:lastRenderedPageBreak/>
              <w:t>пар.</w:t>
            </w:r>
          </w:p>
        </w:tc>
        <w:tc>
          <w:tcPr>
            <w:tcW w:w="567" w:type="dxa"/>
            <w:tcBorders>
              <w:top w:val="nil"/>
            </w:tcBorders>
            <w:vAlign w:val="center"/>
          </w:tcPr>
          <w:p w:rsidR="00E76659" w:rsidRDefault="00E76659" w:rsidP="009C41BF">
            <w:pPr>
              <w:jc w:val="center"/>
            </w:pPr>
            <w:r>
              <w:t>40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751" w:type="dxa"/>
            <w:tcBorders>
              <w:top w:val="nil"/>
            </w:tcBorders>
            <w:vAlign w:val="center"/>
          </w:tcPr>
          <w:p w:rsidR="00E76659" w:rsidRDefault="00E76659" w:rsidP="009C41BF">
            <w:pPr>
              <w:rPr>
                <w:b/>
                <w:bCs/>
              </w:rPr>
            </w:pPr>
            <w:r>
              <w:rPr>
                <w:b/>
                <w:bCs/>
                <w:color w:val="000000"/>
              </w:rPr>
              <w:t xml:space="preserve">Каска UVEX ТЕРМО БОСС 9754 </w:t>
            </w:r>
          </w:p>
        </w:tc>
        <w:tc>
          <w:tcPr>
            <w:tcW w:w="6662" w:type="dxa"/>
            <w:tcBorders>
              <w:top w:val="nil"/>
            </w:tcBorders>
          </w:tcPr>
          <w:p w:rsidR="00E76659" w:rsidRDefault="00E76659" w:rsidP="009C41BF">
            <w:pPr>
              <w:rPr>
                <w:b/>
                <w:bCs/>
              </w:rPr>
            </w:pPr>
            <w:r>
              <w:rPr>
                <w:b/>
                <w:bCs/>
                <w:color w:val="000000"/>
              </w:rPr>
              <w:t xml:space="preserve">Каска UVEX ТЕРМО БОСС 9754 </w:t>
            </w:r>
          </w:p>
          <w:p w:rsidR="00E76659" w:rsidRDefault="00E76659" w:rsidP="009C41BF">
            <w:r>
              <w:t>Материал корпуса: поликарбонат</w:t>
            </w:r>
          </w:p>
          <w:p w:rsidR="00E76659" w:rsidRDefault="00E76659" w:rsidP="009C41BF">
            <w:r>
              <w:t>Материал оголовья: текстильный материал, кожаная вставка для впитывания пота</w:t>
            </w:r>
          </w:p>
          <w:p w:rsidR="00E76659" w:rsidRDefault="00E76659" w:rsidP="009C41BF">
            <w:r>
              <w:t>Температурный режим: от -50°C до +150°C</w:t>
            </w:r>
          </w:p>
          <w:p w:rsidR="00E76659" w:rsidRDefault="00E76659" w:rsidP="009C41BF">
            <w:r>
              <w:t>Крепление оголовья: в шести точках</w:t>
            </w:r>
          </w:p>
          <w:p w:rsidR="00E76659" w:rsidRDefault="00E76659" w:rsidP="009C41BF">
            <w:r>
              <w:t>Регулировка оголовья: ленточная</w:t>
            </w:r>
          </w:p>
          <w:p w:rsidR="00E76659" w:rsidRDefault="00E76659" w:rsidP="009C41BF">
            <w:r>
              <w:t xml:space="preserve">Крепление других видов </w:t>
            </w:r>
            <w:proofErr w:type="gramStart"/>
            <w:r>
              <w:t>СИЗ</w:t>
            </w:r>
            <w:proofErr w:type="gramEnd"/>
            <w:r>
              <w:t>: пазы для крепления наушников и щитков</w:t>
            </w:r>
          </w:p>
          <w:p w:rsidR="00E76659" w:rsidRDefault="00E76659" w:rsidP="009C41BF">
            <w:r>
              <w:t>Защита от тока: до 2200</w:t>
            </w:r>
            <w:proofErr w:type="gramStart"/>
            <w:r>
              <w:t xml:space="preserve"> В</w:t>
            </w:r>
            <w:proofErr w:type="gramEnd"/>
          </w:p>
          <w:p w:rsidR="00E76659" w:rsidRDefault="00E76659" w:rsidP="009C41BF">
            <w:r>
              <w:t>Вес: 440 г</w:t>
            </w:r>
          </w:p>
          <w:p w:rsidR="00E76659" w:rsidRDefault="00E76659" w:rsidP="009C41BF">
            <w:r>
              <w:t>Срок хранения: 5 лет</w:t>
            </w:r>
          </w:p>
          <w:p w:rsidR="00E76659" w:rsidRPr="007308E4" w:rsidRDefault="00E76659" w:rsidP="009C41BF">
            <w:r>
              <w:rPr>
                <w:lang w:val="en-US"/>
              </w:rPr>
              <w:t>EN</w:t>
            </w:r>
            <w:r w:rsidRPr="007308E4">
              <w:t xml:space="preserve"> 397; ТР ТС 019/2011; </w:t>
            </w:r>
            <w:r>
              <w:t xml:space="preserve">ГОСТ </w:t>
            </w:r>
            <w:r>
              <w:rPr>
                <w:lang w:val="en-US"/>
              </w:rPr>
              <w:t>EN</w:t>
            </w:r>
            <w:r w:rsidRPr="007308E4">
              <w:t xml:space="preserve"> 397-</w:t>
            </w:r>
            <w:r>
              <w:t>2012.</w:t>
            </w:r>
          </w:p>
        </w:tc>
        <w:tc>
          <w:tcPr>
            <w:tcW w:w="567" w:type="dxa"/>
            <w:tcBorders>
              <w:top w:val="nil"/>
            </w:tcBorders>
            <w:vAlign w:val="center"/>
          </w:tcPr>
          <w:p w:rsidR="00E76659" w:rsidRDefault="00E76659" w:rsidP="009C41BF">
            <w:pPr>
              <w:jc w:val="center"/>
            </w:pPr>
            <w:r>
              <w:rPr>
                <w:color w:val="000000"/>
              </w:rPr>
              <w:t>шт.</w:t>
            </w:r>
          </w:p>
        </w:tc>
        <w:tc>
          <w:tcPr>
            <w:tcW w:w="567" w:type="dxa"/>
            <w:tcBorders>
              <w:top w:val="nil"/>
            </w:tcBorders>
            <w:vAlign w:val="center"/>
          </w:tcPr>
          <w:p w:rsidR="00E76659" w:rsidRDefault="00E76659" w:rsidP="009C41BF">
            <w:pPr>
              <w:jc w:val="center"/>
            </w:pPr>
            <w:r>
              <w:rPr>
                <w:color w:val="000000"/>
              </w:rPr>
              <w:t>20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1751" w:type="dxa"/>
            <w:tcBorders>
              <w:top w:val="nil"/>
            </w:tcBorders>
            <w:vAlign w:val="center"/>
          </w:tcPr>
          <w:p w:rsidR="00E76659" w:rsidRPr="000075E4" w:rsidRDefault="00205D97" w:rsidP="000C0409">
            <w:pPr>
              <w:pStyle w:val="2"/>
              <w:numPr>
                <w:ilvl w:val="0"/>
                <w:numId w:val="0"/>
              </w:numPr>
              <w:rPr>
                <w:b/>
                <w:sz w:val="24"/>
                <w:szCs w:val="24"/>
                <w:u w:val="none"/>
              </w:rPr>
            </w:pPr>
            <w:r w:rsidRPr="00205D97">
              <w:rPr>
                <w:b/>
                <w:color w:val="000000"/>
                <w:sz w:val="24"/>
                <w:szCs w:val="24"/>
                <w:u w:val="none"/>
              </w:rPr>
              <w:t>Подшлемник «ТЕРМОСТОП»</w:t>
            </w:r>
          </w:p>
        </w:tc>
        <w:tc>
          <w:tcPr>
            <w:tcW w:w="6662" w:type="dxa"/>
            <w:tcBorders>
              <w:top w:val="nil"/>
            </w:tcBorders>
          </w:tcPr>
          <w:p w:rsidR="00E76659" w:rsidRPr="000075E4" w:rsidRDefault="00205D97" w:rsidP="000C0409">
            <w:pPr>
              <w:pStyle w:val="2"/>
              <w:numPr>
                <w:ilvl w:val="0"/>
                <w:numId w:val="0"/>
              </w:numPr>
              <w:rPr>
                <w:b/>
                <w:sz w:val="24"/>
                <w:szCs w:val="24"/>
                <w:u w:val="none"/>
              </w:rPr>
            </w:pPr>
            <w:r w:rsidRPr="00205D97">
              <w:rPr>
                <w:b/>
                <w:color w:val="000000"/>
                <w:sz w:val="24"/>
                <w:szCs w:val="24"/>
                <w:u w:val="none"/>
              </w:rPr>
              <w:t>Подшлемник «ТЕРМОСТОП»</w:t>
            </w:r>
          </w:p>
          <w:p w:rsidR="00E76659" w:rsidRDefault="00E76659" w:rsidP="009C41BF">
            <w:r>
              <w:t>Материал верха изделия: трикотажное полотно.</w:t>
            </w:r>
          </w:p>
          <w:p w:rsidR="00E76659" w:rsidRDefault="00E76659" w:rsidP="009C41BF">
            <w:r>
              <w:t xml:space="preserve">Ткань: шерсть- 80%, </w:t>
            </w:r>
            <w:proofErr w:type="spellStart"/>
            <w:r>
              <w:t>модакрил</w:t>
            </w:r>
            <w:proofErr w:type="spellEnd"/>
            <w:r>
              <w:t xml:space="preserve"> -20%.</w:t>
            </w:r>
          </w:p>
          <w:p w:rsidR="00E76659" w:rsidRDefault="00E76659" w:rsidP="009C41BF">
            <w:r>
              <w:t>Плотность: 400 г/м².</w:t>
            </w:r>
          </w:p>
          <w:p w:rsidR="00E76659" w:rsidRDefault="00E76659" w:rsidP="009C41BF">
            <w:r>
              <w:t xml:space="preserve">Рекомендуется для использования в комплекте с костюмом, предназначенным для защиты от воздействия электрической дуги. Модель выполнена из полушерстяной нити с огнестойкими свойствами. Содержание шерсти обеспечивает защиту от низких температур. </w:t>
            </w:r>
            <w:proofErr w:type="spellStart"/>
            <w:r>
              <w:t>Арамидные</w:t>
            </w:r>
            <w:proofErr w:type="spellEnd"/>
            <w:r>
              <w:t xml:space="preserve"> волокна защищают от теплового воздействия, обладают свойством не поддерживать распространение огня. Модель облегающего силуэта.</w:t>
            </w:r>
          </w:p>
          <w:p w:rsidR="00E76659" w:rsidRDefault="00E76659" w:rsidP="009C41BF">
            <w:r>
              <w:lastRenderedPageBreak/>
              <w:t>Закрывает голову, затылок и часть спины, нижнюю половину лица, шею и часть груди. Лицевой вырез окантован рейкой. Все швы подшлемника плоские, обеспечивают комфорт при эксплуатации изделия.</w:t>
            </w:r>
          </w:p>
          <w:p w:rsidR="00E76659" w:rsidRDefault="00E76659" w:rsidP="009C41BF">
            <w:proofErr w:type="gramStart"/>
            <w:r>
              <w:t>ТР</w:t>
            </w:r>
            <w:proofErr w:type="gramEnd"/>
            <w:r>
              <w:t xml:space="preserve"> ТС 019/2011, ГОСТ Р ИСО 11612-2007</w:t>
            </w:r>
          </w:p>
        </w:tc>
        <w:tc>
          <w:tcPr>
            <w:tcW w:w="567" w:type="dxa"/>
            <w:tcBorders>
              <w:top w:val="nil"/>
            </w:tcBorders>
            <w:vAlign w:val="center"/>
          </w:tcPr>
          <w:p w:rsidR="00E76659" w:rsidRDefault="00E76659" w:rsidP="009C41BF">
            <w:pPr>
              <w:jc w:val="center"/>
            </w:pPr>
            <w:r>
              <w:rPr>
                <w:color w:val="000000"/>
              </w:rPr>
              <w:lastRenderedPageBreak/>
              <w:t>шт.</w:t>
            </w:r>
          </w:p>
        </w:tc>
        <w:tc>
          <w:tcPr>
            <w:tcW w:w="567" w:type="dxa"/>
            <w:tcBorders>
              <w:top w:val="nil"/>
            </w:tcBorders>
            <w:vAlign w:val="center"/>
          </w:tcPr>
          <w:p w:rsidR="00E76659" w:rsidRDefault="00E76659" w:rsidP="009C41BF">
            <w:pPr>
              <w:jc w:val="center"/>
            </w:pPr>
            <w:r>
              <w:rPr>
                <w:color w:val="000000"/>
              </w:rPr>
              <w:t>20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1751" w:type="dxa"/>
            <w:tcBorders>
              <w:top w:val="nil"/>
            </w:tcBorders>
            <w:vAlign w:val="center"/>
          </w:tcPr>
          <w:p w:rsidR="00E76659" w:rsidRDefault="00E76659" w:rsidP="009C41BF">
            <w:pPr>
              <w:rPr>
                <w:b/>
                <w:bCs/>
              </w:rPr>
            </w:pPr>
            <w:r>
              <w:rPr>
                <w:b/>
                <w:bCs/>
              </w:rPr>
              <w:t>Белье «СЛЕНДЕР»</w:t>
            </w:r>
          </w:p>
        </w:tc>
        <w:tc>
          <w:tcPr>
            <w:tcW w:w="6662" w:type="dxa"/>
            <w:tcBorders>
              <w:top w:val="nil"/>
            </w:tcBorders>
          </w:tcPr>
          <w:p w:rsidR="00E76659" w:rsidRDefault="00E76659" w:rsidP="009C41BF">
            <w:pPr>
              <w:rPr>
                <w:b/>
                <w:bCs/>
              </w:rPr>
            </w:pPr>
            <w:r>
              <w:rPr>
                <w:b/>
                <w:bCs/>
              </w:rPr>
              <w:t>Белье «СЛЕНДЕР»</w:t>
            </w:r>
          </w:p>
          <w:p w:rsidR="00E76659" w:rsidRDefault="00E76659" w:rsidP="009C41BF">
            <w:r>
              <w:t>Комплектация: фуфайка, кальсоны</w:t>
            </w:r>
            <w:r w:rsidR="00776780">
              <w:t xml:space="preserve"> </w:t>
            </w:r>
            <w:r>
              <w:t>Ткань: хлопчатобумажное трикотажное полотно, хлопок-100%.</w:t>
            </w:r>
            <w:r w:rsidR="00776780">
              <w:t xml:space="preserve"> </w:t>
            </w:r>
            <w:r>
              <w:t>Плотность: 160  г/м²</w:t>
            </w:r>
          </w:p>
          <w:p w:rsidR="00E76659" w:rsidRPr="005F6759" w:rsidRDefault="00E76659" w:rsidP="000C0409">
            <w:r>
              <w:t>Цвет: серый.</w:t>
            </w:r>
            <w:r w:rsidR="000C0409">
              <w:t xml:space="preserve"> </w:t>
            </w:r>
            <w:r>
              <w:rPr>
                <w:u w:val="single"/>
              </w:rPr>
              <w:t>Особенности модели:</w:t>
            </w:r>
            <w:r w:rsidR="000C0409">
              <w:rPr>
                <w:u w:val="single"/>
              </w:rPr>
              <w:t xml:space="preserve"> </w:t>
            </w:r>
            <w:r>
              <w:t>Не содержит синтетики.</w:t>
            </w:r>
            <w:r w:rsidR="000C0409">
              <w:t xml:space="preserve"> </w:t>
            </w:r>
            <w:r>
              <w:t xml:space="preserve">Фуфайка целая спереди и сзади, с круглой линией горловины. Рукав </w:t>
            </w:r>
            <w:proofErr w:type="spellStart"/>
            <w:r>
              <w:t>одношовный</w:t>
            </w:r>
            <w:proofErr w:type="spellEnd"/>
            <w:r>
              <w:t xml:space="preserve">  </w:t>
            </w:r>
            <w:proofErr w:type="spellStart"/>
            <w:r>
              <w:t>втачной</w:t>
            </w:r>
            <w:proofErr w:type="spellEnd"/>
            <w:r>
              <w:t>.</w:t>
            </w:r>
            <w:r w:rsidR="000C0409">
              <w:t xml:space="preserve"> </w:t>
            </w:r>
            <w:r>
              <w:t xml:space="preserve">Кальсоны с </w:t>
            </w:r>
            <w:proofErr w:type="spellStart"/>
            <w:r>
              <w:t>цельновыкроенным</w:t>
            </w:r>
            <w:proofErr w:type="spellEnd"/>
            <w:r>
              <w:t xml:space="preserve"> поясом и эластичной лентой.</w:t>
            </w:r>
            <w:r w:rsidR="000C0409">
              <w:t xml:space="preserve"> </w:t>
            </w:r>
            <w:r>
              <w:t>По низу рукавов и штанин — манжеты, обеспечивающие плотное прилегание к телу.</w:t>
            </w:r>
            <w:r w:rsidR="000C0409">
              <w:t xml:space="preserve"> </w:t>
            </w:r>
            <w:r>
              <w:t xml:space="preserve">Используется в комплекте одежды для комплексной защиты от термических рисков </w:t>
            </w:r>
            <w:proofErr w:type="spellStart"/>
            <w:r>
              <w:t>электродуги</w:t>
            </w:r>
            <w:proofErr w:type="spellEnd"/>
            <w:r>
              <w:t>.</w:t>
            </w:r>
            <w:r w:rsidR="000C0409">
              <w:t xml:space="preserve"> </w:t>
            </w:r>
            <w:proofErr w:type="gramStart"/>
            <w:r>
              <w:t>ТР</w:t>
            </w:r>
            <w:proofErr w:type="gramEnd"/>
            <w:r>
              <w:t xml:space="preserve"> ТС 017/2011</w:t>
            </w:r>
          </w:p>
        </w:tc>
        <w:tc>
          <w:tcPr>
            <w:tcW w:w="567" w:type="dxa"/>
            <w:tcBorders>
              <w:top w:val="nil"/>
            </w:tcBorders>
            <w:vAlign w:val="center"/>
          </w:tcPr>
          <w:p w:rsidR="00E76659" w:rsidRDefault="00E76659" w:rsidP="009C41BF">
            <w:pPr>
              <w:jc w:val="center"/>
            </w:pPr>
            <w:proofErr w:type="spellStart"/>
            <w:r>
              <w:rPr>
                <w:color w:val="000000"/>
              </w:rPr>
              <w:t>компл</w:t>
            </w:r>
            <w:proofErr w:type="spellEnd"/>
            <w:r>
              <w:rPr>
                <w:color w:val="000000"/>
              </w:rPr>
              <w:t>.</w:t>
            </w:r>
          </w:p>
        </w:tc>
        <w:tc>
          <w:tcPr>
            <w:tcW w:w="567" w:type="dxa"/>
            <w:tcBorders>
              <w:top w:val="nil"/>
            </w:tcBorders>
            <w:vAlign w:val="center"/>
          </w:tcPr>
          <w:p w:rsidR="00E76659" w:rsidRDefault="00E76659" w:rsidP="009C41BF">
            <w:pPr>
              <w:jc w:val="center"/>
            </w:pPr>
            <w:r>
              <w:t>20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751" w:type="dxa"/>
            <w:tcBorders>
              <w:top w:val="nil"/>
            </w:tcBorders>
            <w:vAlign w:val="center"/>
          </w:tcPr>
          <w:p w:rsidR="00E76659" w:rsidRDefault="00E76659" w:rsidP="009C41BF">
            <w:pPr>
              <w:rPr>
                <w:b/>
                <w:bCs/>
              </w:rPr>
            </w:pPr>
            <w:r>
              <w:rPr>
                <w:b/>
                <w:bCs/>
                <w:color w:val="000000"/>
              </w:rPr>
              <w:t>Щиток «UVEX 9722»</w:t>
            </w:r>
          </w:p>
        </w:tc>
        <w:tc>
          <w:tcPr>
            <w:tcW w:w="6662" w:type="dxa"/>
            <w:tcBorders>
              <w:top w:val="nil"/>
            </w:tcBorders>
          </w:tcPr>
          <w:p w:rsidR="00E76659" w:rsidRDefault="00E76659" w:rsidP="009C41BF">
            <w:pPr>
              <w:rPr>
                <w:b/>
                <w:bCs/>
              </w:rPr>
            </w:pPr>
            <w:r>
              <w:rPr>
                <w:b/>
                <w:bCs/>
                <w:color w:val="000000"/>
              </w:rPr>
              <w:t>Щиток «UVEX 9722»</w:t>
            </w:r>
          </w:p>
          <w:p w:rsidR="00E76659" w:rsidRDefault="00E76659" w:rsidP="009C41BF">
            <w:r>
              <w:t xml:space="preserve">Защитный щиток с покрытием против запотевания, круговым креплением и огнестойкой окантовкой. Для термостойких касок «UVEX </w:t>
            </w:r>
            <w:proofErr w:type="spellStart"/>
            <w:r>
              <w:t>Термо</w:t>
            </w:r>
            <w:proofErr w:type="spellEnd"/>
            <w:r>
              <w:t xml:space="preserve"> Босс». Защищает от воздействия </w:t>
            </w:r>
            <w:proofErr w:type="spellStart"/>
            <w:r>
              <w:t>электродуги</w:t>
            </w:r>
            <w:proofErr w:type="spellEnd"/>
            <w:r>
              <w:t>. Легко фиксируется в одном из трех положений.</w:t>
            </w:r>
          </w:p>
          <w:p w:rsidR="00E76659" w:rsidRDefault="00E76659" w:rsidP="009C41BF">
            <w:r>
              <w:t>Модель: 9722 514</w:t>
            </w:r>
            <w:r w:rsidR="00776780">
              <w:t xml:space="preserve"> </w:t>
            </w:r>
            <w:r>
              <w:t>Оптический класс: №1 (не дает искажений)</w:t>
            </w:r>
          </w:p>
          <w:p w:rsidR="00E76659" w:rsidRDefault="00E76659" w:rsidP="009C41BF">
            <w:r>
              <w:t>Материал экрана: поликарбонат</w:t>
            </w:r>
            <w:r w:rsidR="00776780">
              <w:t xml:space="preserve"> </w:t>
            </w:r>
            <w:r>
              <w:t>Толщина экрана: 1,5 мм</w:t>
            </w:r>
            <w:r w:rsidR="00776780">
              <w:t xml:space="preserve"> </w:t>
            </w:r>
            <w:r>
              <w:t>Размер: 540х195 мм</w:t>
            </w:r>
            <w:r w:rsidR="00776780">
              <w:t xml:space="preserve"> </w:t>
            </w:r>
            <w:r>
              <w:t>Защита: от механического воздействия, УФ лучей, термических факторов электрической дуги</w:t>
            </w:r>
          </w:p>
          <w:p w:rsidR="00E76659" w:rsidRPr="007308E4" w:rsidRDefault="00E76659" w:rsidP="00776780">
            <w:r>
              <w:t>Покрытие: против запотевания</w:t>
            </w:r>
            <w:r w:rsidR="00776780">
              <w:t xml:space="preserve"> </w:t>
            </w:r>
            <w:proofErr w:type="gramStart"/>
            <w:r w:rsidRPr="007308E4">
              <w:t>ТР</w:t>
            </w:r>
            <w:proofErr w:type="gramEnd"/>
            <w:r w:rsidRPr="007308E4">
              <w:t xml:space="preserve"> ТС 019/2011; </w:t>
            </w:r>
            <w:r>
              <w:t xml:space="preserve">ГОСТ 12.4.207-99; </w:t>
            </w:r>
            <w:r>
              <w:rPr>
                <w:lang w:val="en-US"/>
              </w:rPr>
              <w:t>EN</w:t>
            </w:r>
            <w:r w:rsidRPr="007308E4">
              <w:t xml:space="preserve"> </w:t>
            </w:r>
            <w:r>
              <w:t>397</w:t>
            </w:r>
          </w:p>
        </w:tc>
        <w:tc>
          <w:tcPr>
            <w:tcW w:w="567" w:type="dxa"/>
            <w:tcBorders>
              <w:top w:val="nil"/>
            </w:tcBorders>
            <w:vAlign w:val="center"/>
          </w:tcPr>
          <w:p w:rsidR="00E76659" w:rsidRDefault="00E76659" w:rsidP="009C41BF">
            <w:pPr>
              <w:jc w:val="center"/>
            </w:pPr>
            <w:r>
              <w:rPr>
                <w:color w:val="000000"/>
              </w:rPr>
              <w:t>шт.</w:t>
            </w:r>
          </w:p>
        </w:tc>
        <w:tc>
          <w:tcPr>
            <w:tcW w:w="567" w:type="dxa"/>
            <w:tcBorders>
              <w:top w:val="nil"/>
            </w:tcBorders>
            <w:vAlign w:val="center"/>
          </w:tcPr>
          <w:p w:rsidR="00E76659" w:rsidRDefault="00E76659" w:rsidP="009C41BF">
            <w:pPr>
              <w:jc w:val="center"/>
            </w:pPr>
            <w:r>
              <w:rPr>
                <w:color w:val="000000"/>
              </w:rPr>
              <w:t>5</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1751" w:type="dxa"/>
            <w:tcBorders>
              <w:top w:val="nil"/>
            </w:tcBorders>
            <w:vAlign w:val="center"/>
          </w:tcPr>
          <w:p w:rsidR="00E76659" w:rsidRDefault="00E76659" w:rsidP="009C41BF">
            <w:pPr>
              <w:rPr>
                <w:b/>
                <w:bCs/>
              </w:rPr>
            </w:pPr>
            <w:r>
              <w:rPr>
                <w:b/>
                <w:bCs/>
                <w:color w:val="000000"/>
              </w:rPr>
              <w:t>Сапоги ПВХ</w:t>
            </w:r>
          </w:p>
        </w:tc>
        <w:tc>
          <w:tcPr>
            <w:tcW w:w="6662" w:type="dxa"/>
            <w:tcBorders>
              <w:top w:val="nil"/>
            </w:tcBorders>
          </w:tcPr>
          <w:p w:rsidR="00E76659" w:rsidRDefault="00E76659" w:rsidP="009C41BF">
            <w:pPr>
              <w:rPr>
                <w:b/>
                <w:bCs/>
              </w:rPr>
            </w:pPr>
            <w:r>
              <w:rPr>
                <w:b/>
                <w:bCs/>
              </w:rPr>
              <w:t>Сапоги ПВХ</w:t>
            </w:r>
          </w:p>
          <w:p w:rsidR="00E76659" w:rsidRDefault="00E76659" w:rsidP="009C41BF">
            <w:r>
              <w:t>Верх обуви: ПВХ</w:t>
            </w:r>
            <w:r w:rsidR="00776780">
              <w:t xml:space="preserve"> </w:t>
            </w:r>
            <w:r>
              <w:t>Тип подошвы: однослойный.</w:t>
            </w:r>
            <w:r w:rsidR="00776780">
              <w:t xml:space="preserve"> </w:t>
            </w:r>
            <w:r>
              <w:t>Подошва: плотный ПВХ (от -10 °C до +30 °C)</w:t>
            </w:r>
            <w:r w:rsidR="00776780">
              <w:t xml:space="preserve"> </w:t>
            </w:r>
            <w:r>
              <w:t>Метод крепления: литьевой</w:t>
            </w:r>
          </w:p>
          <w:p w:rsidR="00E76659" w:rsidRDefault="00E76659" w:rsidP="009C41BF">
            <w:r>
              <w:t>Стелька: анатомической формы</w:t>
            </w:r>
            <w:r w:rsidR="00776780">
              <w:t xml:space="preserve"> </w:t>
            </w:r>
            <w:r>
              <w:t>Цвет: оливковый</w:t>
            </w:r>
          </w:p>
          <w:p w:rsidR="00E76659" w:rsidRDefault="00E76659" w:rsidP="009C41BF">
            <w:pPr>
              <w:pStyle w:val="Standard"/>
              <w:spacing w:after="0"/>
              <w:jc w:val="both"/>
              <w:rPr>
                <w:rFonts w:ascii="Times New Roman" w:hAnsi="Times New Roman"/>
              </w:rPr>
            </w:pPr>
            <w:r>
              <w:rPr>
                <w:rFonts w:ascii="Times New Roman" w:hAnsi="Times New Roman" w:cs="Arial"/>
              </w:rPr>
              <w:t>Высота сапог:37см.</w:t>
            </w:r>
          </w:p>
          <w:p w:rsidR="00E76659" w:rsidRDefault="00E76659" w:rsidP="009C41BF">
            <w:pPr>
              <w:pStyle w:val="Standard"/>
              <w:spacing w:after="0"/>
              <w:jc w:val="both"/>
              <w:rPr>
                <w:rFonts w:ascii="Times New Roman" w:hAnsi="Times New Roman"/>
              </w:rPr>
            </w:pPr>
            <w:r>
              <w:rPr>
                <w:rFonts w:ascii="Times New Roman" w:hAnsi="Times New Roman" w:cs="Arial"/>
              </w:rPr>
              <w:t xml:space="preserve">Изделие изготовлено из </w:t>
            </w:r>
            <w:proofErr w:type="gramStart"/>
            <w:r>
              <w:rPr>
                <w:rFonts w:ascii="Times New Roman" w:hAnsi="Times New Roman" w:cs="Arial"/>
              </w:rPr>
              <w:t>материалов</w:t>
            </w:r>
            <w:proofErr w:type="gramEnd"/>
            <w:r>
              <w:rPr>
                <w:rFonts w:ascii="Times New Roman" w:hAnsi="Times New Roman" w:cs="Arial"/>
              </w:rPr>
              <w:t xml:space="preserve"> защищающих от сырой нефти, нефтяных масел и нефтепродуктов тяжелых фракций, кислот и щелочей, нетоксичной и взрывоопасной пыли, </w:t>
            </w:r>
            <w:r>
              <w:rPr>
                <w:rFonts w:ascii="Times New Roman" w:hAnsi="Times New Roman" w:cs="Arial"/>
              </w:rPr>
              <w:lastRenderedPageBreak/>
              <w:t>атмосферных осадков, воды. Трикотажная подкладка и обеспечивает комфортную носку.</w:t>
            </w:r>
          </w:p>
          <w:p w:rsidR="00E76659" w:rsidRDefault="00E76659" w:rsidP="009C41BF">
            <w:pPr>
              <w:pStyle w:val="Standard"/>
              <w:spacing w:after="0"/>
              <w:jc w:val="both"/>
              <w:rPr>
                <w:rFonts w:ascii="Times New Roman" w:hAnsi="Times New Roman" w:cs="Arial"/>
              </w:rPr>
            </w:pPr>
            <w:proofErr w:type="gramStart"/>
            <w:r>
              <w:rPr>
                <w:rFonts w:ascii="Times New Roman" w:hAnsi="Times New Roman" w:cs="Arial"/>
              </w:rPr>
              <w:t>ТР</w:t>
            </w:r>
            <w:proofErr w:type="gramEnd"/>
            <w:r>
              <w:rPr>
                <w:rFonts w:ascii="Times New Roman" w:hAnsi="Times New Roman" w:cs="Arial"/>
              </w:rPr>
              <w:t xml:space="preserve"> ТС 017/2011 ; ТУ 2595-001-5020598-02</w:t>
            </w:r>
          </w:p>
          <w:p w:rsidR="000075E4" w:rsidRDefault="00C25DB2" w:rsidP="009C41BF">
            <w:pPr>
              <w:pStyle w:val="Standard"/>
              <w:spacing w:after="0"/>
              <w:jc w:val="both"/>
              <w:rPr>
                <w:rFonts w:ascii="Times New Roman" w:hAnsi="Times New Roman"/>
              </w:rPr>
            </w:pPr>
            <w:r>
              <w:t>Размеры: 40 – 1 пара, 41 – 6 пар, 42 – 14 пар, 43 – 9 пар, 44 – 3 пары, 45 – 3 пары, 46 – 4 пары.</w:t>
            </w:r>
            <w:bookmarkStart w:id="1" w:name="_GoBack"/>
            <w:bookmarkEnd w:id="1"/>
          </w:p>
        </w:tc>
        <w:tc>
          <w:tcPr>
            <w:tcW w:w="567" w:type="dxa"/>
            <w:tcBorders>
              <w:top w:val="nil"/>
            </w:tcBorders>
            <w:vAlign w:val="center"/>
          </w:tcPr>
          <w:p w:rsidR="00E76659" w:rsidRDefault="00E76659" w:rsidP="009C41BF">
            <w:pPr>
              <w:jc w:val="center"/>
            </w:pPr>
            <w:r>
              <w:rPr>
                <w:color w:val="000000"/>
              </w:rPr>
              <w:lastRenderedPageBreak/>
              <w:t>пар.</w:t>
            </w:r>
          </w:p>
        </w:tc>
        <w:tc>
          <w:tcPr>
            <w:tcW w:w="567" w:type="dxa"/>
            <w:tcBorders>
              <w:top w:val="nil"/>
            </w:tcBorders>
            <w:vAlign w:val="center"/>
          </w:tcPr>
          <w:p w:rsidR="00E76659" w:rsidRDefault="00E76659" w:rsidP="009C41BF">
            <w:pPr>
              <w:jc w:val="center"/>
            </w:pPr>
            <w:r>
              <w:rPr>
                <w:color w:val="000000"/>
              </w:rPr>
              <w:t>40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1751" w:type="dxa"/>
            <w:tcBorders>
              <w:top w:val="nil"/>
            </w:tcBorders>
            <w:vAlign w:val="center"/>
          </w:tcPr>
          <w:p w:rsidR="00E76659" w:rsidRDefault="00E76659" w:rsidP="009C41BF">
            <w:pPr>
              <w:rPr>
                <w:b/>
                <w:bCs/>
              </w:rPr>
            </w:pPr>
            <w:r>
              <w:rPr>
                <w:b/>
                <w:bCs/>
                <w:color w:val="000000"/>
              </w:rPr>
              <w:t>Плащ «Рыбак»</w:t>
            </w:r>
          </w:p>
        </w:tc>
        <w:tc>
          <w:tcPr>
            <w:tcW w:w="6662" w:type="dxa"/>
            <w:tcBorders>
              <w:top w:val="nil"/>
            </w:tcBorders>
          </w:tcPr>
          <w:p w:rsidR="00E76659" w:rsidRDefault="00E76659" w:rsidP="009C41BF">
            <w:pPr>
              <w:rPr>
                <w:b/>
                <w:bCs/>
              </w:rPr>
            </w:pPr>
            <w:r>
              <w:rPr>
                <w:b/>
                <w:bCs/>
                <w:color w:val="000000"/>
              </w:rPr>
              <w:t>Плащ «Рыбак»</w:t>
            </w:r>
          </w:p>
          <w:p w:rsidR="00E76659" w:rsidRDefault="00E76659" w:rsidP="00776780">
            <w:pPr>
              <w:rPr>
                <w:color w:val="000000"/>
              </w:rPr>
            </w:pPr>
            <w:r>
              <w:t>Материал: полиэфир - 100%, толщина - 0,18 мм, ПВХ покрытие.</w:t>
            </w:r>
            <w:r w:rsidR="00776780">
              <w:t xml:space="preserve"> </w:t>
            </w:r>
            <w:r>
              <w:t>Застежка: на кнопках с двойной планкой.</w:t>
            </w:r>
            <w:r w:rsidR="00776780">
              <w:t xml:space="preserve"> </w:t>
            </w:r>
            <w:r>
              <w:t xml:space="preserve">Капюшон: убирается в карман воротника. </w:t>
            </w:r>
            <w:r w:rsidR="00776780">
              <w:t xml:space="preserve"> </w:t>
            </w:r>
            <w:r>
              <w:t>Защитные элементы: проклеенные швы.</w:t>
            </w:r>
            <w:r w:rsidR="00776780">
              <w:t xml:space="preserve"> </w:t>
            </w:r>
            <w:r>
              <w:t>Регулировки по ширине: кнопки по низу рукавов.</w:t>
            </w:r>
            <w:r w:rsidR="00776780">
              <w:t xml:space="preserve"> </w:t>
            </w:r>
            <w:r>
              <w:t>Карманы: накладные с клапанами.</w:t>
            </w:r>
            <w:r w:rsidR="00776780">
              <w:t xml:space="preserve"> </w:t>
            </w:r>
            <w:r>
              <w:t>Цвет: синий</w:t>
            </w:r>
            <w:r w:rsidR="00776780">
              <w:t xml:space="preserve"> </w:t>
            </w:r>
            <w:r>
              <w:rPr>
                <w:color w:val="000000"/>
              </w:rPr>
              <w:t>ГОСТ 12.4.134-83</w:t>
            </w:r>
          </w:p>
          <w:p w:rsidR="00BF19CF" w:rsidRDefault="00BF19CF" w:rsidP="00776780">
            <w:r>
              <w:t>Размеры: 46 – 5 шт., 48 – 4 шт., 50 – 10 шт., 52 – 6 шт., 54 – 8 шт., 56 – 6 шт., 58 – 1 шт.</w:t>
            </w:r>
          </w:p>
        </w:tc>
        <w:tc>
          <w:tcPr>
            <w:tcW w:w="567" w:type="dxa"/>
            <w:tcBorders>
              <w:top w:val="nil"/>
            </w:tcBorders>
            <w:vAlign w:val="center"/>
          </w:tcPr>
          <w:p w:rsidR="00E76659" w:rsidRDefault="00E76659" w:rsidP="009C41BF">
            <w:pPr>
              <w:jc w:val="center"/>
            </w:pPr>
            <w:r>
              <w:rPr>
                <w:color w:val="000000"/>
              </w:rPr>
              <w:t>шт.</w:t>
            </w:r>
          </w:p>
        </w:tc>
        <w:tc>
          <w:tcPr>
            <w:tcW w:w="567" w:type="dxa"/>
            <w:tcBorders>
              <w:top w:val="nil"/>
            </w:tcBorders>
            <w:vAlign w:val="center"/>
          </w:tcPr>
          <w:p w:rsidR="00E76659" w:rsidRDefault="00E76659" w:rsidP="009C41BF">
            <w:pPr>
              <w:jc w:val="center"/>
            </w:pPr>
            <w:r>
              <w:rPr>
                <w:color w:val="000000"/>
              </w:rPr>
              <w:t>40</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E76659" w:rsidRPr="00B55322" w:rsidTr="00776780">
        <w:trPr>
          <w:trHeight w:val="240"/>
        </w:trPr>
        <w:tc>
          <w:tcPr>
            <w:tcW w:w="699" w:type="dxa"/>
            <w:tcBorders>
              <w:top w:val="nil"/>
            </w:tcBorders>
            <w:vAlign w:val="center"/>
          </w:tcPr>
          <w:p w:rsidR="00E76659" w:rsidRDefault="00E76659"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1751" w:type="dxa"/>
            <w:tcBorders>
              <w:top w:val="nil"/>
            </w:tcBorders>
            <w:vAlign w:val="center"/>
          </w:tcPr>
          <w:p w:rsidR="00E76659" w:rsidRDefault="00E76659" w:rsidP="009C41BF">
            <w:pPr>
              <w:rPr>
                <w:b/>
                <w:bCs/>
              </w:rPr>
            </w:pPr>
            <w:r>
              <w:rPr>
                <w:b/>
                <w:bCs/>
                <w:color w:val="000000"/>
              </w:rPr>
              <w:t>Полукомбинезон с сапогами «ЛИМАН»</w:t>
            </w:r>
          </w:p>
        </w:tc>
        <w:tc>
          <w:tcPr>
            <w:tcW w:w="6662" w:type="dxa"/>
            <w:tcBorders>
              <w:top w:val="nil"/>
            </w:tcBorders>
          </w:tcPr>
          <w:p w:rsidR="00E76659" w:rsidRDefault="00E76659" w:rsidP="009C41BF">
            <w:pPr>
              <w:rPr>
                <w:b/>
                <w:bCs/>
              </w:rPr>
            </w:pPr>
            <w:r>
              <w:rPr>
                <w:b/>
                <w:bCs/>
                <w:color w:val="000000"/>
              </w:rPr>
              <w:t>Полукомбинезон с сапогами «ЛИМАН»</w:t>
            </w:r>
          </w:p>
          <w:p w:rsidR="00E76659" w:rsidRDefault="00E76659" w:rsidP="00776780">
            <w:pPr>
              <w:rPr>
                <w:bCs/>
              </w:rPr>
            </w:pPr>
            <w:r>
              <w:rPr>
                <w:bCs/>
              </w:rPr>
              <w:t xml:space="preserve">Верх обуви: </w:t>
            </w:r>
            <w:r>
              <w:t>ПВХ / нейлон.</w:t>
            </w:r>
            <w:r w:rsidR="00776780">
              <w:t xml:space="preserve"> </w:t>
            </w:r>
            <w:r>
              <w:rPr>
                <w:bCs/>
              </w:rPr>
              <w:t>Подкладка:</w:t>
            </w:r>
            <w:r>
              <w:t xml:space="preserve"> трикотаж.</w:t>
            </w:r>
            <w:r w:rsidR="00776780">
              <w:t xml:space="preserve"> </w:t>
            </w:r>
            <w:r>
              <w:rPr>
                <w:bCs/>
              </w:rPr>
              <w:t>Подошва:</w:t>
            </w:r>
            <w:r>
              <w:t xml:space="preserve"> </w:t>
            </w:r>
            <w:proofErr w:type="gramStart"/>
            <w:r>
              <w:t>двухслойный</w:t>
            </w:r>
            <w:proofErr w:type="gramEnd"/>
            <w:r>
              <w:t xml:space="preserve"> ПВХ.</w:t>
            </w:r>
            <w:r w:rsidR="00776780">
              <w:t xml:space="preserve"> </w:t>
            </w:r>
            <w:r>
              <w:rPr>
                <w:bCs/>
              </w:rPr>
              <w:t>Метод крепления:</w:t>
            </w:r>
            <w:r>
              <w:t xml:space="preserve"> литьевой.</w:t>
            </w:r>
            <w:r w:rsidR="00776780">
              <w:t xml:space="preserve"> </w:t>
            </w:r>
            <w:r>
              <w:rPr>
                <w:bCs/>
              </w:rPr>
              <w:t>Цвет:</w:t>
            </w:r>
            <w:r>
              <w:t xml:space="preserve"> оливковый. </w:t>
            </w:r>
            <w:r w:rsidR="00776780">
              <w:t xml:space="preserve"> </w:t>
            </w:r>
            <w:r>
              <w:rPr>
                <w:bCs/>
              </w:rPr>
              <w:t>ТУ 2595-001-50290598-02</w:t>
            </w:r>
            <w:r w:rsidR="00776780">
              <w:rPr>
                <w:bCs/>
              </w:rPr>
              <w:t xml:space="preserve"> </w:t>
            </w:r>
            <w:proofErr w:type="gramStart"/>
            <w:r>
              <w:rPr>
                <w:bCs/>
              </w:rPr>
              <w:t>ТР</w:t>
            </w:r>
            <w:proofErr w:type="gramEnd"/>
            <w:r>
              <w:rPr>
                <w:bCs/>
              </w:rPr>
              <w:t xml:space="preserve"> ТС 019/2011</w:t>
            </w:r>
          </w:p>
          <w:p w:rsidR="00BF19CF" w:rsidRDefault="00BF19CF" w:rsidP="00BF19CF">
            <w:r>
              <w:t>Размеры: 42 – 1 пара, 43 – 2 пары, 44 – 2 пары.</w:t>
            </w:r>
          </w:p>
        </w:tc>
        <w:tc>
          <w:tcPr>
            <w:tcW w:w="567" w:type="dxa"/>
            <w:tcBorders>
              <w:top w:val="nil"/>
            </w:tcBorders>
            <w:vAlign w:val="center"/>
          </w:tcPr>
          <w:p w:rsidR="00E76659" w:rsidRDefault="00E76659" w:rsidP="009C41BF">
            <w:pPr>
              <w:jc w:val="center"/>
            </w:pPr>
            <w:r>
              <w:rPr>
                <w:color w:val="000000"/>
              </w:rPr>
              <w:t>шт.</w:t>
            </w:r>
          </w:p>
        </w:tc>
        <w:tc>
          <w:tcPr>
            <w:tcW w:w="567" w:type="dxa"/>
            <w:tcBorders>
              <w:top w:val="nil"/>
            </w:tcBorders>
            <w:vAlign w:val="center"/>
          </w:tcPr>
          <w:p w:rsidR="00E76659" w:rsidRDefault="00E76659" w:rsidP="009C41BF">
            <w:pPr>
              <w:jc w:val="center"/>
            </w:pPr>
            <w:r>
              <w:rPr>
                <w:color w:val="000000"/>
              </w:rPr>
              <w:t>5</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7009C3" w:rsidRPr="00B55322" w:rsidTr="00581C8B">
        <w:trPr>
          <w:trHeight w:val="240"/>
        </w:trPr>
        <w:tc>
          <w:tcPr>
            <w:tcW w:w="11664"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0C0409" w:rsidRDefault="000C0409" w:rsidP="000C0409">
      <w:pPr>
        <w:tabs>
          <w:tab w:val="left" w:pos="347"/>
        </w:tabs>
      </w:pPr>
      <w: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tab/>
      </w:r>
      <w:r>
        <w:tab/>
      </w:r>
      <w:r>
        <w:tab/>
      </w:r>
      <w:r>
        <w:tab/>
      </w:r>
    </w:p>
    <w:p w:rsidR="000C0409" w:rsidRDefault="000C0409" w:rsidP="000C0409">
      <w:pPr>
        <w:tabs>
          <w:tab w:val="left" w:pos="347"/>
        </w:tabs>
      </w:pPr>
      <w: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tab/>
      </w:r>
      <w:r>
        <w:tab/>
      </w:r>
      <w:r>
        <w:tab/>
      </w:r>
      <w:r>
        <w:tab/>
      </w:r>
    </w:p>
    <w:p w:rsidR="000C0409" w:rsidRDefault="000C0409" w:rsidP="000C0409">
      <w:pPr>
        <w:tabs>
          <w:tab w:val="left" w:pos="347"/>
        </w:tabs>
      </w:pPr>
      <w:r>
        <w:t>3. Требования к объему предоставления гарантий качества товара: в соответствии с технической документацией завода-изготовителя.</w:t>
      </w:r>
    </w:p>
    <w:p w:rsidR="00EB3D81" w:rsidRDefault="000C0409" w:rsidP="000C0409">
      <w:pPr>
        <w:tabs>
          <w:tab w:val="left" w:pos="347"/>
        </w:tabs>
      </w:pPr>
      <w:r>
        <w:t>4. Транспортировка, доставка товара осуществляется силами Поставщика и за его счет.</w:t>
      </w:r>
      <w:r>
        <w:tab/>
      </w:r>
    </w:p>
    <w:p w:rsidR="000C0409" w:rsidRDefault="000C0409" w:rsidP="000C0409">
      <w:pPr>
        <w:tabs>
          <w:tab w:val="left" w:pos="284"/>
        </w:tabs>
        <w:ind w:firstLine="425"/>
        <w:jc w:val="center"/>
        <w:rPr>
          <w:b/>
        </w:rPr>
      </w:pPr>
    </w:p>
    <w:p w:rsidR="000C0409" w:rsidRDefault="000C0409" w:rsidP="000C0409">
      <w:pPr>
        <w:tabs>
          <w:tab w:val="left" w:pos="284"/>
        </w:tabs>
        <w:ind w:firstLine="425"/>
        <w:jc w:val="center"/>
        <w:rPr>
          <w:b/>
        </w:rPr>
      </w:pPr>
    </w:p>
    <w:p w:rsidR="00A62210" w:rsidRPr="00B55322" w:rsidRDefault="00A62210" w:rsidP="00293E1C">
      <w:pPr>
        <w:tabs>
          <w:tab w:val="left" w:pos="284"/>
        </w:tabs>
        <w:ind w:firstLine="425"/>
        <w:jc w:val="center"/>
        <w:rPr>
          <w:b/>
        </w:rPr>
      </w:pPr>
      <w:r w:rsidRPr="00B55322">
        <w:rPr>
          <w:b/>
        </w:rPr>
        <w:t>ПОДПИСИ СТОРОН:</w:t>
      </w:r>
    </w:p>
    <w:tbl>
      <w:tblPr>
        <w:tblW w:w="9186" w:type="dxa"/>
        <w:jc w:val="center"/>
        <w:tblLayout w:type="fixed"/>
        <w:tblLook w:val="000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lastRenderedPageBreak/>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EB3D81">
      <w:pgSz w:w="16840" w:h="11907" w:orient="landscape" w:code="9"/>
      <w:pgMar w:top="567" w:right="567" w:bottom="567" w:left="1134"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A1C" w:rsidRDefault="004D5A1C">
      <w:r>
        <w:separator/>
      </w:r>
    </w:p>
  </w:endnote>
  <w:endnote w:type="continuationSeparator" w:id="0">
    <w:p w:rsidR="004D5A1C" w:rsidRDefault="004D5A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E10D18" w:rsidRDefault="00736BB2" w:rsidP="00264B22">
        <w:pPr>
          <w:pStyle w:val="af5"/>
          <w:jc w:val="right"/>
        </w:pPr>
        <w:r>
          <w:fldChar w:fldCharType="begin"/>
        </w:r>
        <w:r w:rsidR="00E10D18">
          <w:instrText>PAGE   \* MERGEFORMAT</w:instrText>
        </w:r>
        <w:r>
          <w:fldChar w:fldCharType="separate"/>
        </w:r>
        <w:r w:rsidR="00BF19CF">
          <w:rPr>
            <w:noProof/>
          </w:rPr>
          <w:t>12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A1C" w:rsidRDefault="004D5A1C">
      <w:r>
        <w:separator/>
      </w:r>
    </w:p>
  </w:footnote>
  <w:footnote w:type="continuationSeparator" w:id="0">
    <w:p w:rsidR="004D5A1C" w:rsidRDefault="004D5A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D18" w:rsidRDefault="00E10D1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977556"/>
    <w:rsid w:val="00002054"/>
    <w:rsid w:val="000075E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C0409"/>
    <w:rsid w:val="000E174A"/>
    <w:rsid w:val="000E1A00"/>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5F9"/>
    <w:rsid w:val="001A6A78"/>
    <w:rsid w:val="001B05C6"/>
    <w:rsid w:val="001B672E"/>
    <w:rsid w:val="001B6A67"/>
    <w:rsid w:val="001B7FA8"/>
    <w:rsid w:val="001C62C5"/>
    <w:rsid w:val="00203B25"/>
    <w:rsid w:val="00205D97"/>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D5A1C"/>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8118B"/>
    <w:rsid w:val="00581C8B"/>
    <w:rsid w:val="005953DD"/>
    <w:rsid w:val="005A0EAD"/>
    <w:rsid w:val="005A7A0A"/>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A5D51"/>
    <w:rsid w:val="006B0782"/>
    <w:rsid w:val="006B09BE"/>
    <w:rsid w:val="006B27DF"/>
    <w:rsid w:val="006B480B"/>
    <w:rsid w:val="006C71A4"/>
    <w:rsid w:val="006D1353"/>
    <w:rsid w:val="006E1524"/>
    <w:rsid w:val="006E78D2"/>
    <w:rsid w:val="007009C3"/>
    <w:rsid w:val="00702E8F"/>
    <w:rsid w:val="00706000"/>
    <w:rsid w:val="007226E3"/>
    <w:rsid w:val="007359E8"/>
    <w:rsid w:val="00736BB2"/>
    <w:rsid w:val="00737FC2"/>
    <w:rsid w:val="00743C4B"/>
    <w:rsid w:val="00745764"/>
    <w:rsid w:val="0074654D"/>
    <w:rsid w:val="007506F5"/>
    <w:rsid w:val="0075070A"/>
    <w:rsid w:val="007521C5"/>
    <w:rsid w:val="00767C5D"/>
    <w:rsid w:val="00767D0C"/>
    <w:rsid w:val="00771207"/>
    <w:rsid w:val="0077296E"/>
    <w:rsid w:val="00774486"/>
    <w:rsid w:val="0077589A"/>
    <w:rsid w:val="007766E9"/>
    <w:rsid w:val="00776780"/>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4BA1"/>
    <w:rsid w:val="008D6690"/>
    <w:rsid w:val="008E32E2"/>
    <w:rsid w:val="008E73BF"/>
    <w:rsid w:val="008F005A"/>
    <w:rsid w:val="008F45CB"/>
    <w:rsid w:val="0090152D"/>
    <w:rsid w:val="009033E6"/>
    <w:rsid w:val="00906D5B"/>
    <w:rsid w:val="00933DFF"/>
    <w:rsid w:val="00934929"/>
    <w:rsid w:val="00940360"/>
    <w:rsid w:val="00947E62"/>
    <w:rsid w:val="00952629"/>
    <w:rsid w:val="00954CBA"/>
    <w:rsid w:val="00971D4B"/>
    <w:rsid w:val="00975379"/>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19CF"/>
    <w:rsid w:val="00BF5E2D"/>
    <w:rsid w:val="00C1564F"/>
    <w:rsid w:val="00C20336"/>
    <w:rsid w:val="00C25DB2"/>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B6EDF"/>
    <w:rsid w:val="00DC1D4A"/>
    <w:rsid w:val="00DC1ED5"/>
    <w:rsid w:val="00DC1F73"/>
    <w:rsid w:val="00DC45BD"/>
    <w:rsid w:val="00DC7524"/>
    <w:rsid w:val="00DC7A78"/>
    <w:rsid w:val="00DF0067"/>
    <w:rsid w:val="00E05FD5"/>
    <w:rsid w:val="00E10D18"/>
    <w:rsid w:val="00E170DF"/>
    <w:rsid w:val="00E239CC"/>
    <w:rsid w:val="00E33BF1"/>
    <w:rsid w:val="00E64BBA"/>
    <w:rsid w:val="00E71900"/>
    <w:rsid w:val="00E746F2"/>
    <w:rsid w:val="00E76659"/>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1053"/>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qFormat/>
    <w:rsid w:val="00E76659"/>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75D2341-7FB1-461A-A7D1-33A102E3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13</Pages>
  <Words>5201</Words>
  <Characters>29648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22</cp:revision>
  <cp:lastPrinted>2016-04-25T15:52:00Z</cp:lastPrinted>
  <dcterms:created xsi:type="dcterms:W3CDTF">2016-07-18T09:08:00Z</dcterms:created>
  <dcterms:modified xsi:type="dcterms:W3CDTF">2016-08-30T13:58:00Z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