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D1" w:rsidRDefault="00683283" w:rsidP="00B430D1">
      <w:pPr>
        <w:ind w:left="6237"/>
      </w:pPr>
      <w:r>
        <w:t>Приложение 2</w:t>
      </w:r>
      <w:r w:rsidR="00B430D1">
        <w:t xml:space="preserve"> </w:t>
      </w:r>
    </w:p>
    <w:p w:rsidR="00B430D1" w:rsidRDefault="00B430D1" w:rsidP="00B430D1">
      <w:pPr>
        <w:ind w:left="6237"/>
      </w:pPr>
      <w:r>
        <w:t>к техническому заданию</w:t>
      </w:r>
    </w:p>
    <w:p w:rsidR="00B430D1" w:rsidRPr="006A7DA3" w:rsidRDefault="00B430D1" w:rsidP="00B430D1">
      <w:pPr>
        <w:spacing w:after="120"/>
        <w:jc w:val="center"/>
        <w:rPr>
          <w:rFonts w:eastAsia="Calibri" w:cs="Times New Roman"/>
          <w:b/>
          <w:color w:val="000000"/>
        </w:rPr>
      </w:pPr>
      <w:r w:rsidRPr="006A7DA3">
        <w:rPr>
          <w:rFonts w:eastAsia="Calibri" w:cs="Times New Roman"/>
          <w:b/>
          <w:color w:val="000000"/>
        </w:rPr>
        <w:t xml:space="preserve">Требования для составления сметной документации  </w:t>
      </w:r>
    </w:p>
    <w:p w:rsidR="00B430D1" w:rsidRPr="006A7DA3" w:rsidRDefault="00B430D1" w:rsidP="00B430D1">
      <w:pPr>
        <w:spacing w:after="120"/>
        <w:jc w:val="center"/>
        <w:rPr>
          <w:rFonts w:eastAsia="Calibri" w:cs="Times New Roman"/>
          <w:b/>
          <w:color w:val="000000"/>
        </w:rPr>
      </w:pPr>
      <w:r w:rsidRPr="006A7DA3">
        <w:rPr>
          <w:rFonts w:eastAsia="Calibri" w:cs="Times New Roman"/>
          <w:b/>
          <w:color w:val="000000"/>
        </w:rPr>
        <w:t>1.Требования для составления сметной документации базисно-индексным методом *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"/>
        <w:gridCol w:w="3168"/>
        <w:gridCol w:w="6233"/>
      </w:tblGrid>
      <w:tr w:rsidR="00B430D1" w:rsidRPr="006A7DA3" w:rsidTr="00E37905">
        <w:trPr>
          <w:trHeight w:val="495"/>
          <w:tblHeader/>
          <w:jc w:val="center"/>
        </w:trPr>
        <w:tc>
          <w:tcPr>
            <w:tcW w:w="598" w:type="dxa"/>
            <w:vAlign w:val="center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b/>
                <w:color w:val="000000"/>
                <w:sz w:val="20"/>
                <w:szCs w:val="20"/>
              </w:rPr>
              <w:t>№</w:t>
            </w:r>
          </w:p>
          <w:p w:rsidR="00B430D1" w:rsidRPr="006A7DA3" w:rsidRDefault="00B430D1" w:rsidP="00E37905">
            <w:pPr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6A7DA3">
              <w:rPr>
                <w:rFonts w:eastAsia="Calibri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6A7DA3">
              <w:rPr>
                <w:rFonts w:eastAsia="Calibri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68" w:type="dxa"/>
            <w:vAlign w:val="center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  <w:p w:rsidR="00B430D1" w:rsidRPr="006A7DA3" w:rsidRDefault="00B430D1" w:rsidP="00E37905">
            <w:pPr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b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6233" w:type="dxa"/>
            <w:vAlign w:val="center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b/>
                <w:color w:val="000000"/>
                <w:sz w:val="20"/>
                <w:szCs w:val="20"/>
              </w:rPr>
              <w:t>Показатель</w:t>
            </w:r>
          </w:p>
        </w:tc>
      </w:tr>
      <w:tr w:rsidR="00B430D1" w:rsidRPr="006A7DA3" w:rsidTr="00E37905">
        <w:trPr>
          <w:trHeight w:val="262"/>
          <w:jc w:val="center"/>
        </w:trPr>
        <w:tc>
          <w:tcPr>
            <w:tcW w:w="598" w:type="dxa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233" w:type="dxa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430D1" w:rsidRPr="006A7DA3" w:rsidTr="00E37905">
        <w:trPr>
          <w:trHeight w:val="749"/>
          <w:jc w:val="center"/>
        </w:trPr>
        <w:tc>
          <w:tcPr>
            <w:tcW w:w="598" w:type="dxa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68" w:type="dxa"/>
          </w:tcPr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Нормативная база и пересчет в текущие цены</w:t>
            </w:r>
          </w:p>
        </w:tc>
        <w:tc>
          <w:tcPr>
            <w:tcW w:w="6233" w:type="dxa"/>
          </w:tcPr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Сметная документация разрабатывается в соответствии с действующими нормативами и методическими рекомендациями по определению стоимости строительной продукции на территории Российской Федерации, с применением, в сметно-нормативной базе ТЕР-2001/ФЕР-2001 (ТЕР Краснодарского края), в </w:t>
            </w:r>
            <w:proofErr w:type="gramStart"/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редакции</w:t>
            </w:r>
            <w:proofErr w:type="gramEnd"/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 действующей на момент составления сметной документации с применением сметных нормативов, включенных в федеральный реестр, в базисном уровне цен по состоянию на 01.01.2000 года и в текущем уровне цен в рублевом эквиваленте.</w:t>
            </w:r>
          </w:p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gramStart"/>
            <w:r w:rsidRPr="006A7DA3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При этом перерасчет стоимости из базового уровня цен в текущий осуществлять с использованием поквартальных прогнозных </w:t>
            </w: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индексов изменения сметной стоимости строительно-монтажных и пусконаладочных работ по объектам строительства по Южному федеральному округу, для Краснодарского кра</w:t>
            </w:r>
            <w:bookmarkStart w:id="0" w:name="_GoBack"/>
            <w:bookmarkEnd w:id="0"/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я, индексов изменения сметной стоимости оборудования для объектов непроизводственного назначения, разработанных Министерством строительства и жилищно-коммунального хозяйства Российской Федерации. </w:t>
            </w:r>
            <w:proofErr w:type="gramEnd"/>
          </w:p>
        </w:tc>
      </w:tr>
      <w:tr w:rsidR="00B430D1" w:rsidRPr="006A7DA3" w:rsidTr="00E37905">
        <w:trPr>
          <w:trHeight w:val="749"/>
          <w:jc w:val="center"/>
        </w:trPr>
        <w:tc>
          <w:tcPr>
            <w:tcW w:w="598" w:type="dxa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68" w:type="dxa"/>
          </w:tcPr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Стоимость 1 </w:t>
            </w:r>
            <w:proofErr w:type="spellStart"/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-час эксплуатации строительных машин и механизмов</w:t>
            </w:r>
          </w:p>
        </w:tc>
        <w:tc>
          <w:tcPr>
            <w:tcW w:w="6233" w:type="dxa"/>
          </w:tcPr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В соответствии с действующими нормативными документами</w:t>
            </w:r>
            <w:r w:rsidRPr="006A7DA3" w:rsidDel="00530A45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B430D1" w:rsidRPr="006A7DA3" w:rsidTr="00E37905">
        <w:trPr>
          <w:trHeight w:val="772"/>
          <w:jc w:val="center"/>
        </w:trPr>
        <w:tc>
          <w:tcPr>
            <w:tcW w:w="598" w:type="dxa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68" w:type="dxa"/>
          </w:tcPr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Цены на материалы, изделия и полуфабрикаты. </w:t>
            </w:r>
          </w:p>
        </w:tc>
        <w:tc>
          <w:tcPr>
            <w:tcW w:w="6233" w:type="dxa"/>
          </w:tcPr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Стоимость применяемых материалов, изделий и конструкций определяется по Территориальному сборнику сметных цен на материалы, изделия и конструкции для Краснодарского края (ТССЦ) /федеральному сборнику сметных цен (ФССЦ).</w:t>
            </w:r>
          </w:p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Стоимость применяемых материалов, изделий и конструкций, отсутствующих в ТССЦ/ФССЦ или по условиям строительства отличных </w:t>
            </w:r>
            <w:proofErr w:type="gramStart"/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 учтенных в базовых нормах, определяется по СССЦ/ФГИС. В случаи отсутствия в СССЦ/ФГИС – на основании коммерческ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ого предложения (прайс-листа</w:t>
            </w: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) поставщик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а</w:t>
            </w:r>
            <w:r w:rsidRPr="006A7DA3">
              <w:rPr>
                <w:rFonts w:eastAsia="Calibri" w:cs="Times New Roman"/>
                <w:bCs/>
                <w:color w:val="000000"/>
                <w:sz w:val="20"/>
                <w:szCs w:val="20"/>
              </w:rPr>
              <w:t>.</w:t>
            </w: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При этом</w:t>
            </w: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 должны быть отражены наименование поставщика, дата предложения или </w:t>
            </w:r>
            <w:proofErr w:type="spellStart"/>
            <w:proofErr w:type="gramStart"/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гипер</w:t>
            </w:r>
            <w:proofErr w:type="spellEnd"/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-ссылка</w:t>
            </w:r>
            <w:proofErr w:type="gramEnd"/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, при условии получения информации из открытых источников сети-Интернет. </w:t>
            </w:r>
          </w:p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Стоимость, принятая при формировании сметной документации по коммерческим предложениям, прайс-листам должна содержать расшифровку включенных в нее затрат (условия поставки, налоги и сборы, тара, транспортные расходы, комплектация и проч.). </w:t>
            </w:r>
          </w:p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Пересчет стоимости материала из текущего уровня цен в базовый уровень цен осуществляется с использованием индексов изменения сметной стоимости строительно-монтажных работ по Южному федеральному округу, для Краснодарского края, рекомендуемых Министерством строительства и жилищно-коммунального хозяйства Российской Федерации. </w:t>
            </w:r>
          </w:p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В каждой строке локальной сметы, где стоимость материалов определена по коммерческим предложениям, прайс-листам поставщиков должно быть  расшифровано ценообразование</w:t>
            </w:r>
          </w:p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430D1" w:rsidRPr="006A7DA3" w:rsidTr="00E37905">
        <w:trPr>
          <w:trHeight w:val="772"/>
          <w:jc w:val="center"/>
        </w:trPr>
        <w:tc>
          <w:tcPr>
            <w:tcW w:w="598" w:type="dxa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68" w:type="dxa"/>
          </w:tcPr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Оплату труда рабочих-строителей и рабочих, обслуживающих строительные машины и механизмы</w:t>
            </w:r>
          </w:p>
        </w:tc>
        <w:tc>
          <w:tcPr>
            <w:tcW w:w="6233" w:type="dxa"/>
          </w:tcPr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В соответствии с действующими нормативными документами.</w:t>
            </w:r>
          </w:p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B430D1" w:rsidRPr="006A7DA3" w:rsidTr="00E37905">
        <w:trPr>
          <w:trHeight w:val="157"/>
          <w:jc w:val="center"/>
        </w:trPr>
        <w:tc>
          <w:tcPr>
            <w:tcW w:w="598" w:type="dxa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68" w:type="dxa"/>
          </w:tcPr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Стоимость оборудования, мебели и инвентаря</w:t>
            </w:r>
          </w:p>
        </w:tc>
        <w:tc>
          <w:tcPr>
            <w:tcW w:w="6233" w:type="dxa"/>
          </w:tcPr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Стоимость оборудования, мебели и инвентаря определяется по Территориальному сборнику сметных цен на материалы, изделия и конструкции для Краснодарского края (ТССЦ) /федеральному сборнику сметных цен (ФССЦ).</w:t>
            </w:r>
          </w:p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Стоимость оборудования, мебели и инвентаря, отсутствующих в ТССЦ/ФССЦ или по условиям строительства отличных </w:t>
            </w:r>
            <w:proofErr w:type="gramStart"/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 учтенных в базовых нормах, определять по СССЦ/ФГИС. В случаи отсутствия в СССЦ/ФГИС – на основании коммерческ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ого</w:t>
            </w: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 предложения (прайс-лист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а</w:t>
            </w: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поставщика</w:t>
            </w: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6A7DA3">
              <w:rPr>
                <w:rFonts w:eastAsia="Calibri" w:cs="Times New Roman"/>
                <w:bCs/>
                <w:color w:val="000000"/>
                <w:sz w:val="20"/>
                <w:szCs w:val="20"/>
              </w:rPr>
              <w:t>(приложен</w:t>
            </w:r>
            <w:r>
              <w:rPr>
                <w:rFonts w:eastAsia="Calibri" w:cs="Times New Roman"/>
                <w:bCs/>
                <w:color w:val="000000"/>
                <w:sz w:val="20"/>
                <w:szCs w:val="20"/>
              </w:rPr>
              <w:t xml:space="preserve">ие № 3 к Техническому заданию), где </w:t>
            </w: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должны быть отражены наименование поставщика, дата предложения или </w:t>
            </w:r>
            <w:proofErr w:type="spellStart"/>
            <w:proofErr w:type="gramStart"/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гипер</w:t>
            </w:r>
            <w:proofErr w:type="spellEnd"/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-ссылка</w:t>
            </w:r>
            <w:proofErr w:type="gramEnd"/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, при условии получения информации из открытых источников сети-Интернет.</w:t>
            </w:r>
          </w:p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Стоимость, принятая при формировании сметной документации по коммерческим предложениям, прайс-листам должна содержать расшифровку включенных в нее затрат (условия поставки, налоги и сборы, тара, транспортные расходы, комплектация и проч.).</w:t>
            </w:r>
          </w:p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Пересчет стоимости оборудования, мебели и инвентаря из текущего уровня цен в базовый уровень цен осуществляется с использованием индексов изменения сметной стоимости оборудования для объектов непроизводственного назначения, рекомендуемых Министерством строительства и жилищно-коммунального хозяйства Российской Федерации.  </w:t>
            </w:r>
          </w:p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В каждой строке локальной сметы, где стоимость оборудования определенна по коммерческим предложениям, прайс-листам должно быть  расшифровано  ценообразование.</w:t>
            </w:r>
          </w:p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При составлении локальных смет на монтаж оборудования стоимость оборудования выделяется в отдельный раздел, а в позициях по монтажу указывается наименование устанавливаемого по данной расценке оборудования.</w:t>
            </w:r>
          </w:p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B430D1" w:rsidRPr="006A7DA3" w:rsidTr="00E37905">
        <w:trPr>
          <w:trHeight w:val="263"/>
          <w:jc w:val="center"/>
        </w:trPr>
        <w:tc>
          <w:tcPr>
            <w:tcW w:w="598" w:type="dxa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68" w:type="dxa"/>
          </w:tcPr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Размеры накладных расходов</w:t>
            </w:r>
          </w:p>
        </w:tc>
        <w:tc>
          <w:tcPr>
            <w:tcW w:w="6233" w:type="dxa"/>
          </w:tcPr>
          <w:p w:rsidR="00B430D1" w:rsidRPr="006A7DA3" w:rsidRDefault="00B430D1" w:rsidP="00E37905">
            <w:pPr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В соответствии с действующими нормативными документами по определению величины накладных расходов.</w:t>
            </w:r>
          </w:p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B430D1" w:rsidRPr="006A7DA3" w:rsidTr="00E37905">
        <w:trPr>
          <w:trHeight w:val="263"/>
          <w:jc w:val="center"/>
        </w:trPr>
        <w:tc>
          <w:tcPr>
            <w:tcW w:w="598" w:type="dxa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68" w:type="dxa"/>
          </w:tcPr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Размер сметной прибыли</w:t>
            </w:r>
          </w:p>
        </w:tc>
        <w:tc>
          <w:tcPr>
            <w:tcW w:w="6233" w:type="dxa"/>
          </w:tcPr>
          <w:p w:rsidR="00B430D1" w:rsidRPr="006A7DA3" w:rsidRDefault="00B430D1" w:rsidP="00E37905">
            <w:pPr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В соответствии с действующими нормативными документами по определению величины сметной прибыли.</w:t>
            </w:r>
          </w:p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B430D1" w:rsidRPr="006A7DA3" w:rsidTr="00E37905">
        <w:trPr>
          <w:trHeight w:val="510"/>
          <w:jc w:val="center"/>
        </w:trPr>
        <w:tc>
          <w:tcPr>
            <w:tcW w:w="598" w:type="dxa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68" w:type="dxa"/>
          </w:tcPr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Затраты на временные здания и сооружения </w:t>
            </w:r>
          </w:p>
        </w:tc>
        <w:tc>
          <w:tcPr>
            <w:tcW w:w="6233" w:type="dxa"/>
          </w:tcPr>
          <w:p w:rsidR="00B430D1" w:rsidRPr="006A7DA3" w:rsidRDefault="00B430D1" w:rsidP="00E37905">
            <w:pPr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В соответствии с действующими нормативными документами по определению затрат на временные здания и вооружения.</w:t>
            </w:r>
          </w:p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B430D1" w:rsidRPr="006A7DA3" w:rsidTr="00E37905">
        <w:trPr>
          <w:trHeight w:val="350"/>
          <w:jc w:val="center"/>
        </w:trPr>
        <w:tc>
          <w:tcPr>
            <w:tcW w:w="598" w:type="dxa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68" w:type="dxa"/>
          </w:tcPr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Затраты по гл. 1, 9, 10, 12</w:t>
            </w:r>
          </w:p>
        </w:tc>
        <w:tc>
          <w:tcPr>
            <w:tcW w:w="6233" w:type="dxa"/>
          </w:tcPr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Затраты предусматриваются в соответствии с действующими нормативными документами.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B430D1" w:rsidRPr="006A7DA3" w:rsidTr="00E37905">
        <w:trPr>
          <w:trHeight w:val="381"/>
          <w:jc w:val="center"/>
        </w:trPr>
        <w:tc>
          <w:tcPr>
            <w:tcW w:w="598" w:type="dxa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68" w:type="dxa"/>
          </w:tcPr>
          <w:p w:rsidR="00B430D1" w:rsidRPr="006A7DA3" w:rsidRDefault="00B430D1" w:rsidP="00E37905">
            <w:pPr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 xml:space="preserve">Резерв средств на непредвиденные расходы </w:t>
            </w:r>
          </w:p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33" w:type="dxa"/>
          </w:tcPr>
          <w:p w:rsidR="00B430D1" w:rsidRPr="006A7DA3" w:rsidRDefault="00B430D1" w:rsidP="00E37905">
            <w:pPr>
              <w:ind w:left="2" w:right="8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 xml:space="preserve">Наличие резерва и величина средств на непредвиденные расходы устанавливается Заказчиком. </w:t>
            </w:r>
          </w:p>
          <w:p w:rsidR="00B430D1" w:rsidRPr="006A7DA3" w:rsidRDefault="00B430D1" w:rsidP="00E37905">
            <w:pPr>
              <w:ind w:left="2" w:right="8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B430D1" w:rsidRPr="006A7DA3" w:rsidTr="00E37905">
        <w:trPr>
          <w:trHeight w:val="985"/>
          <w:jc w:val="center"/>
        </w:trPr>
        <w:tc>
          <w:tcPr>
            <w:tcW w:w="598" w:type="dxa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68" w:type="dxa"/>
          </w:tcPr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Место вывоза демонтированных материалов и конструкций, вид транспорта, дальность транспортировки</w:t>
            </w:r>
          </w:p>
        </w:tc>
        <w:tc>
          <w:tcPr>
            <w:tcW w:w="6233" w:type="dxa"/>
          </w:tcPr>
          <w:p w:rsidR="00B430D1" w:rsidRPr="006A7DA3" w:rsidRDefault="00B430D1" w:rsidP="00E37905">
            <w:pPr>
              <w:ind w:left="2" w:right="8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Расчеты выполняются в соответствии с ППР, согласованным Заказчиком. Расстояние перевозки принимается на основании транспортных схем, разработанных/согласованных с Заказчиком. Предусмотреть возврат стоимости материалов от разборки.</w:t>
            </w:r>
          </w:p>
          <w:p w:rsidR="00B430D1" w:rsidRPr="006A7DA3" w:rsidRDefault="00B430D1" w:rsidP="00E37905">
            <w:pPr>
              <w:ind w:left="2" w:right="80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B430D1" w:rsidRPr="006A7DA3" w:rsidTr="00E37905">
        <w:trPr>
          <w:trHeight w:val="530"/>
          <w:jc w:val="center"/>
        </w:trPr>
        <w:tc>
          <w:tcPr>
            <w:tcW w:w="598" w:type="dxa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168" w:type="dxa"/>
          </w:tcPr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Дополнительные требования</w:t>
            </w:r>
          </w:p>
        </w:tc>
        <w:tc>
          <w:tcPr>
            <w:tcW w:w="6233" w:type="dxa"/>
          </w:tcPr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 xml:space="preserve">Итоги в разделах локальных смет должны быть отражены по разделам сметы с начислением накладных расходов и сметной прибыли. </w:t>
            </w:r>
          </w:p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A7DA3">
              <w:rPr>
                <w:rFonts w:eastAsia="Calibri" w:cs="Times New Roman"/>
                <w:color w:val="000000"/>
                <w:sz w:val="20"/>
                <w:szCs w:val="20"/>
              </w:rPr>
              <w:t>В пояснительной записке к сметной документации указывается все применяемые индексы и коэффициенты.</w:t>
            </w:r>
          </w:p>
          <w:p w:rsidR="00B430D1" w:rsidRPr="006A7DA3" w:rsidRDefault="00B430D1" w:rsidP="00E3790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</w:tbl>
    <w:p w:rsidR="00B430D1" w:rsidRDefault="00B430D1" w:rsidP="00B430D1">
      <w:pPr>
        <w:tabs>
          <w:tab w:val="left" w:pos="7300"/>
        </w:tabs>
        <w:jc w:val="center"/>
        <w:rPr>
          <w:rFonts w:eastAsia="Calibri" w:cs="Times New Roman"/>
          <w:b/>
        </w:rPr>
      </w:pPr>
    </w:p>
    <w:p w:rsidR="00B430D1" w:rsidRPr="006A7DA3" w:rsidRDefault="00B430D1" w:rsidP="00B430D1">
      <w:pPr>
        <w:tabs>
          <w:tab w:val="left" w:pos="7300"/>
        </w:tabs>
        <w:jc w:val="center"/>
        <w:rPr>
          <w:rFonts w:eastAsia="Calibri" w:cs="Times New Roman"/>
          <w:b/>
        </w:rPr>
      </w:pPr>
      <w:r w:rsidRPr="006A7DA3">
        <w:rPr>
          <w:rFonts w:eastAsia="Calibri" w:cs="Times New Roman"/>
          <w:b/>
        </w:rPr>
        <w:t xml:space="preserve">2.Требования для составления сметной документации ресурсным методом* 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"/>
        <w:gridCol w:w="3168"/>
        <w:gridCol w:w="6233"/>
      </w:tblGrid>
      <w:tr w:rsidR="00B430D1" w:rsidRPr="006A7DA3" w:rsidTr="00E37905">
        <w:trPr>
          <w:trHeight w:val="495"/>
          <w:tblHeader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A7DA3">
              <w:rPr>
                <w:rFonts w:eastAsia="Calibri" w:cs="Times New Roman"/>
                <w:b/>
                <w:sz w:val="20"/>
                <w:szCs w:val="20"/>
              </w:rPr>
              <w:t>№</w:t>
            </w:r>
          </w:p>
          <w:p w:rsidR="00B430D1" w:rsidRPr="006A7DA3" w:rsidRDefault="00B430D1" w:rsidP="00E3790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proofErr w:type="gramStart"/>
            <w:r w:rsidRPr="006A7DA3">
              <w:rPr>
                <w:rFonts w:eastAsia="Calibri" w:cs="Times New Roman"/>
                <w:b/>
                <w:sz w:val="20"/>
                <w:szCs w:val="20"/>
              </w:rPr>
              <w:t>п</w:t>
            </w:r>
            <w:proofErr w:type="gramEnd"/>
            <w:r w:rsidRPr="006A7DA3">
              <w:rPr>
                <w:rFonts w:eastAsia="Calibri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A7DA3">
              <w:rPr>
                <w:rFonts w:eastAsia="Calibri" w:cs="Times New Roman"/>
                <w:b/>
                <w:sz w:val="20"/>
                <w:szCs w:val="20"/>
              </w:rPr>
              <w:t>Наименование</w:t>
            </w:r>
          </w:p>
          <w:p w:rsidR="00B430D1" w:rsidRPr="006A7DA3" w:rsidRDefault="00B430D1" w:rsidP="00E3790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A7DA3">
              <w:rPr>
                <w:rFonts w:eastAsia="Calibri" w:cs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6233" w:type="dxa"/>
            <w:shd w:val="clear" w:color="auto" w:fill="auto"/>
            <w:vAlign w:val="center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A7DA3">
              <w:rPr>
                <w:rFonts w:eastAsia="Calibri" w:cs="Times New Roman"/>
                <w:b/>
                <w:sz w:val="20"/>
                <w:szCs w:val="20"/>
              </w:rPr>
              <w:t>Показатель</w:t>
            </w:r>
          </w:p>
        </w:tc>
      </w:tr>
      <w:tr w:rsidR="00B430D1" w:rsidRPr="006A7DA3" w:rsidTr="00E37905">
        <w:trPr>
          <w:trHeight w:val="262"/>
          <w:jc w:val="center"/>
        </w:trPr>
        <w:tc>
          <w:tcPr>
            <w:tcW w:w="598" w:type="dxa"/>
            <w:shd w:val="clear" w:color="auto" w:fill="auto"/>
          </w:tcPr>
          <w:p w:rsidR="00B430D1" w:rsidRPr="006A7DA3" w:rsidRDefault="00B430D1" w:rsidP="00E3790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A7DA3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6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A7DA3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33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A7DA3"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</w:tc>
      </w:tr>
      <w:tr w:rsidR="00B430D1" w:rsidRPr="006A7DA3" w:rsidTr="00E37905">
        <w:trPr>
          <w:trHeight w:val="749"/>
          <w:jc w:val="center"/>
        </w:trPr>
        <w:tc>
          <w:tcPr>
            <w:tcW w:w="59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316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Нормативная база и уровень цен</w:t>
            </w:r>
          </w:p>
        </w:tc>
        <w:tc>
          <w:tcPr>
            <w:tcW w:w="6233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 xml:space="preserve">Сметная документация разрабатывается в соответствии с действующими нормативами и методическими рекомендациями по определению стоимости строительной продукции на территории Российской Федерации, с применением сметных нормативов, в </w:t>
            </w:r>
            <w:proofErr w:type="gramStart"/>
            <w:r w:rsidRPr="006A7DA3">
              <w:rPr>
                <w:rFonts w:eastAsia="Calibri" w:cs="Times New Roman"/>
                <w:sz w:val="20"/>
                <w:szCs w:val="20"/>
              </w:rPr>
              <w:t>редакции</w:t>
            </w:r>
            <w:proofErr w:type="gramEnd"/>
            <w:r w:rsidRPr="006A7DA3">
              <w:rPr>
                <w:rFonts w:eastAsia="Calibri" w:cs="Times New Roman"/>
                <w:sz w:val="20"/>
                <w:szCs w:val="20"/>
              </w:rPr>
              <w:t xml:space="preserve"> действующей на момент составления сметной документации, включенными в федеральный реестр, в текущем уровне цен по состоянию на период составления сметной документации в рублевом эквиваленте. </w:t>
            </w:r>
          </w:p>
          <w:p w:rsidR="00B430D1" w:rsidRPr="006A7DA3" w:rsidRDefault="00B430D1" w:rsidP="00E37905">
            <w:pPr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 xml:space="preserve">Стоимость ресурсов учитывается </w:t>
            </w:r>
            <w:proofErr w:type="gramStart"/>
            <w:r w:rsidRPr="006A7DA3">
              <w:rPr>
                <w:rFonts w:eastAsia="Calibri" w:cs="Times New Roman"/>
                <w:sz w:val="20"/>
                <w:szCs w:val="20"/>
              </w:rPr>
              <w:t>согласно сборников</w:t>
            </w:r>
            <w:proofErr w:type="gramEnd"/>
            <w:r w:rsidRPr="006A7DA3">
              <w:rPr>
                <w:rFonts w:eastAsia="Calibri" w:cs="Times New Roman"/>
                <w:sz w:val="20"/>
                <w:szCs w:val="20"/>
              </w:rPr>
              <w:t xml:space="preserve"> текущих средних сметных цен Краснодарского края, разработанных ГАУ «</w:t>
            </w:r>
            <w:proofErr w:type="spellStart"/>
            <w:r w:rsidRPr="006A7DA3">
              <w:rPr>
                <w:rFonts w:eastAsia="Calibri" w:cs="Times New Roman"/>
                <w:sz w:val="20"/>
                <w:szCs w:val="20"/>
              </w:rPr>
              <w:t>Краснодаркрайгосэкспертиза</w:t>
            </w:r>
            <w:proofErr w:type="spellEnd"/>
            <w:r w:rsidRPr="006A7DA3">
              <w:rPr>
                <w:rFonts w:eastAsia="Calibri" w:cs="Times New Roman"/>
                <w:sz w:val="20"/>
                <w:szCs w:val="20"/>
              </w:rPr>
              <w:t xml:space="preserve">» (далее – СССЦ)/ сборников сметных цен строительных ресурсов, определенных </w:t>
            </w:r>
            <w:proofErr w:type="spellStart"/>
            <w:r w:rsidRPr="006A7DA3">
              <w:rPr>
                <w:rFonts w:eastAsia="Calibri" w:cs="Times New Roman"/>
                <w:sz w:val="20"/>
                <w:szCs w:val="20"/>
              </w:rPr>
              <w:t>Министерстовом</w:t>
            </w:r>
            <w:proofErr w:type="spellEnd"/>
            <w:r w:rsidRPr="006A7DA3">
              <w:rPr>
                <w:rFonts w:eastAsia="Calibri" w:cs="Times New Roman"/>
                <w:sz w:val="20"/>
                <w:szCs w:val="20"/>
              </w:rPr>
              <w:t xml:space="preserve"> строительства и ЖКХ РФ, размещенных в федеральной государственной информационной системе ценообразования (далее – ФГИС)  или рекомендованных к применению в ином, установленном Министерством порядке. </w:t>
            </w:r>
          </w:p>
          <w:p w:rsidR="00B430D1" w:rsidRPr="006A7DA3" w:rsidRDefault="00B430D1" w:rsidP="00E37905">
            <w:pPr>
              <w:ind w:firstLine="708"/>
              <w:jc w:val="both"/>
              <w:rPr>
                <w:rFonts w:eastAsia="Calibri" w:cs="Times New Roman"/>
                <w:color w:val="FF0000"/>
                <w:sz w:val="20"/>
                <w:szCs w:val="20"/>
              </w:rPr>
            </w:pPr>
            <w:proofErr w:type="gramStart"/>
            <w:r w:rsidRPr="006A7DA3">
              <w:rPr>
                <w:rFonts w:eastAsia="Calibri" w:cs="Times New Roman"/>
                <w:sz w:val="20"/>
                <w:szCs w:val="20"/>
              </w:rPr>
              <w:t>При отсутствии прямых расценок, а так же для определения сметной стоимости эксплуатационных работ, работ по техническому обслуживанию и содержанию объектов и инженерных систем за основу могут быть приняты сметные нормы и правила ведомственных и прочих сборников, фирменных сметных нормативов, территориальных сметных нормативов и других сборников, разработанных и утвержденных на основании нормативных правовых документов.</w:t>
            </w:r>
            <w:proofErr w:type="gramEnd"/>
          </w:p>
        </w:tc>
      </w:tr>
      <w:tr w:rsidR="00B430D1" w:rsidRPr="006A7DA3" w:rsidTr="00E37905">
        <w:trPr>
          <w:trHeight w:val="749"/>
          <w:jc w:val="center"/>
        </w:trPr>
        <w:tc>
          <w:tcPr>
            <w:tcW w:w="59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316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 xml:space="preserve">Стоимость 1 </w:t>
            </w:r>
            <w:proofErr w:type="spellStart"/>
            <w:r w:rsidRPr="006A7DA3">
              <w:rPr>
                <w:rFonts w:eastAsia="Calibri" w:cs="Times New Roman"/>
                <w:sz w:val="20"/>
                <w:szCs w:val="20"/>
              </w:rPr>
              <w:t>маш</w:t>
            </w:r>
            <w:proofErr w:type="spellEnd"/>
            <w:r w:rsidRPr="006A7DA3">
              <w:rPr>
                <w:rFonts w:eastAsia="Calibri" w:cs="Times New Roman"/>
                <w:sz w:val="20"/>
                <w:szCs w:val="20"/>
              </w:rPr>
              <w:t>-час эксплуатации строительных машин и механизмов</w:t>
            </w:r>
          </w:p>
        </w:tc>
        <w:tc>
          <w:tcPr>
            <w:tcW w:w="6233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 xml:space="preserve">В соответствии с действующими нормативными документами. </w:t>
            </w:r>
          </w:p>
        </w:tc>
      </w:tr>
      <w:tr w:rsidR="00B430D1" w:rsidRPr="006A7DA3" w:rsidTr="00E37905">
        <w:trPr>
          <w:trHeight w:val="772"/>
          <w:jc w:val="center"/>
        </w:trPr>
        <w:tc>
          <w:tcPr>
            <w:tcW w:w="59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3.</w:t>
            </w:r>
          </w:p>
        </w:tc>
        <w:tc>
          <w:tcPr>
            <w:tcW w:w="316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 xml:space="preserve">Цены на материалы, изделия и полуфабрикаты. </w:t>
            </w:r>
          </w:p>
        </w:tc>
        <w:tc>
          <w:tcPr>
            <w:tcW w:w="6233" w:type="dxa"/>
            <w:shd w:val="clear" w:color="auto" w:fill="auto"/>
          </w:tcPr>
          <w:p w:rsidR="00B430D1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Стоимость применяемых материалов, изделий и конструкций определяется по сборнику текущих средних сметных цен Краснодарского края, разработанных ГАУ «</w:t>
            </w:r>
            <w:proofErr w:type="spellStart"/>
            <w:r w:rsidRPr="006A7DA3">
              <w:rPr>
                <w:rFonts w:eastAsia="Calibri" w:cs="Times New Roman"/>
                <w:sz w:val="20"/>
                <w:szCs w:val="20"/>
              </w:rPr>
              <w:t>Краснодаркрайгосэкспертиза</w:t>
            </w:r>
            <w:proofErr w:type="spellEnd"/>
            <w:r w:rsidRPr="006A7DA3">
              <w:rPr>
                <w:rFonts w:eastAsia="Calibri" w:cs="Times New Roman"/>
                <w:sz w:val="20"/>
                <w:szCs w:val="20"/>
              </w:rPr>
              <w:t xml:space="preserve">» (далее – СССЦ)/ сборнику цен строительных ресурсов, определенных Министерством строительства и ЖКХ РФ, размещенных в федеральной государственной информационной системе ценообразования (далее – ФГИС). </w:t>
            </w:r>
            <w:proofErr w:type="gramStart"/>
            <w:r w:rsidRPr="006A7DA3">
              <w:rPr>
                <w:rFonts w:eastAsia="Calibri" w:cs="Times New Roman"/>
                <w:sz w:val="20"/>
                <w:szCs w:val="20"/>
              </w:rPr>
              <w:t>Стоимость применяемых материалов, изделий и конструкций, отсутствующих в СССЦ/ФГИС, включается на основании коммерческ</w:t>
            </w:r>
            <w:r>
              <w:rPr>
                <w:rFonts w:eastAsia="Calibri" w:cs="Times New Roman"/>
                <w:sz w:val="20"/>
                <w:szCs w:val="20"/>
              </w:rPr>
              <w:t>ого</w:t>
            </w:r>
            <w:r w:rsidRPr="006A7DA3">
              <w:rPr>
                <w:rFonts w:eastAsia="Calibri" w:cs="Times New Roman"/>
                <w:sz w:val="20"/>
                <w:szCs w:val="20"/>
              </w:rPr>
              <w:t xml:space="preserve"> предложения (прайс-листы</w:t>
            </w:r>
            <w:r>
              <w:rPr>
                <w:rFonts w:eastAsia="Calibri" w:cs="Times New Roman"/>
                <w:sz w:val="20"/>
                <w:szCs w:val="20"/>
              </w:rPr>
              <w:t xml:space="preserve"> поставщика</w:t>
            </w:r>
            <w:r w:rsidRPr="006A7DA3">
              <w:rPr>
                <w:rFonts w:eastAsia="Calibri" w:cs="Times New Roman"/>
                <w:sz w:val="20"/>
                <w:szCs w:val="20"/>
              </w:rPr>
              <w:t>.</w:t>
            </w:r>
            <w:proofErr w:type="gramEnd"/>
            <w:r w:rsidRPr="006A7DA3">
              <w:rPr>
                <w:rFonts w:eastAsia="Calibri" w:cs="Times New Roman"/>
                <w:sz w:val="20"/>
                <w:szCs w:val="20"/>
              </w:rPr>
              <w:t xml:space="preserve"> В </w:t>
            </w:r>
            <w:r>
              <w:rPr>
                <w:rFonts w:eastAsia="Calibri" w:cs="Times New Roman"/>
                <w:sz w:val="20"/>
                <w:szCs w:val="20"/>
              </w:rPr>
              <w:t>нем</w:t>
            </w:r>
            <w:r w:rsidRPr="006A7DA3">
              <w:rPr>
                <w:rFonts w:eastAsia="Calibri" w:cs="Times New Roman"/>
                <w:sz w:val="20"/>
                <w:szCs w:val="20"/>
              </w:rPr>
              <w:t xml:space="preserve"> должны быть отражены наименование поставщика, дата предложения или </w:t>
            </w:r>
            <w:proofErr w:type="spellStart"/>
            <w:proofErr w:type="gramStart"/>
            <w:r w:rsidRPr="006A7DA3">
              <w:rPr>
                <w:rFonts w:eastAsia="Calibri" w:cs="Times New Roman"/>
                <w:sz w:val="20"/>
                <w:szCs w:val="20"/>
              </w:rPr>
              <w:t>гипер</w:t>
            </w:r>
            <w:proofErr w:type="spellEnd"/>
            <w:r w:rsidRPr="006A7DA3">
              <w:rPr>
                <w:rFonts w:eastAsia="Calibri" w:cs="Times New Roman"/>
                <w:sz w:val="20"/>
                <w:szCs w:val="20"/>
              </w:rPr>
              <w:t>-ссылка</w:t>
            </w:r>
            <w:proofErr w:type="gramEnd"/>
            <w:r w:rsidRPr="006A7DA3">
              <w:rPr>
                <w:rFonts w:eastAsia="Calibri" w:cs="Times New Roman"/>
                <w:sz w:val="20"/>
                <w:szCs w:val="20"/>
              </w:rPr>
              <w:t>, при условии получения информации из открытых источников сети-Интернет</w:t>
            </w:r>
          </w:p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 xml:space="preserve">Стоимость, принятая при формировании сметной документации по </w:t>
            </w:r>
            <w:r w:rsidRPr="006A7DA3">
              <w:rPr>
                <w:rFonts w:eastAsia="Calibri" w:cs="Times New Roman"/>
                <w:sz w:val="20"/>
                <w:szCs w:val="20"/>
              </w:rPr>
              <w:lastRenderedPageBreak/>
              <w:t xml:space="preserve">коммерческим предложениям, прайс-листам должна содержать расшифровку включенных в нее затрат (условия поставки, налоги и сборы, тара, транспортные расходы, комплектация и проч.). </w:t>
            </w:r>
          </w:p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В каждой строке локальной сметы, где стоимость материалов определена по коммерческим предложениям, прайс-листам поставщиков необходима расшифровка ценообразования.</w:t>
            </w:r>
          </w:p>
        </w:tc>
      </w:tr>
      <w:tr w:rsidR="00B430D1" w:rsidRPr="006A7DA3" w:rsidTr="00E37905">
        <w:trPr>
          <w:trHeight w:val="772"/>
          <w:jc w:val="center"/>
        </w:trPr>
        <w:tc>
          <w:tcPr>
            <w:tcW w:w="59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6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ind w:right="55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Оплату труда рабочих-строителей и рабочих, обслуживающих строительные машины и механизмы</w:t>
            </w:r>
          </w:p>
        </w:tc>
        <w:tc>
          <w:tcPr>
            <w:tcW w:w="6233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 xml:space="preserve">В соответствии с действующими нормативными документами. </w:t>
            </w:r>
          </w:p>
        </w:tc>
      </w:tr>
      <w:tr w:rsidR="00B430D1" w:rsidRPr="006A7DA3" w:rsidTr="00E37905">
        <w:trPr>
          <w:trHeight w:val="1049"/>
          <w:jc w:val="center"/>
        </w:trPr>
        <w:tc>
          <w:tcPr>
            <w:tcW w:w="59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5.</w:t>
            </w:r>
          </w:p>
        </w:tc>
        <w:tc>
          <w:tcPr>
            <w:tcW w:w="316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Стоимость оборудования, мебели и инвентаря</w:t>
            </w:r>
          </w:p>
        </w:tc>
        <w:tc>
          <w:tcPr>
            <w:tcW w:w="6233" w:type="dxa"/>
            <w:shd w:val="clear" w:color="auto" w:fill="auto"/>
          </w:tcPr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Стоимость оборудования, мебели и инвентаря определять по СССЦ/ФГИС. Стоимость оборудования, мебели и инвентаря, отсутствующих в СССЦ/ФГИС, включается на основании коммерческ</w:t>
            </w:r>
            <w:r>
              <w:rPr>
                <w:rFonts w:eastAsia="Calibri" w:cs="Times New Roman"/>
                <w:sz w:val="20"/>
                <w:szCs w:val="20"/>
              </w:rPr>
              <w:t>ого предложения (прайс-листа</w:t>
            </w:r>
            <w:r w:rsidRPr="006A7DA3">
              <w:rPr>
                <w:rFonts w:eastAsia="Calibri" w:cs="Times New Roman"/>
                <w:sz w:val="20"/>
                <w:szCs w:val="20"/>
              </w:rPr>
              <w:t xml:space="preserve">) </w:t>
            </w:r>
            <w:r>
              <w:rPr>
                <w:rFonts w:eastAsia="Calibri" w:cs="Times New Roman"/>
                <w:sz w:val="20"/>
                <w:szCs w:val="20"/>
              </w:rPr>
              <w:t>поставщика</w:t>
            </w:r>
            <w:r w:rsidRPr="006A7DA3">
              <w:rPr>
                <w:rFonts w:eastAsia="Calibri" w:cs="Times New Roman"/>
                <w:sz w:val="20"/>
                <w:szCs w:val="20"/>
              </w:rPr>
              <w:t xml:space="preserve">. В </w:t>
            </w:r>
            <w:r>
              <w:rPr>
                <w:rFonts w:eastAsia="Calibri" w:cs="Times New Roman"/>
                <w:sz w:val="20"/>
                <w:szCs w:val="20"/>
              </w:rPr>
              <w:t>коммерческом предложении</w:t>
            </w:r>
            <w:r w:rsidRPr="006A7DA3">
              <w:rPr>
                <w:rFonts w:eastAsia="Calibri" w:cs="Times New Roman"/>
                <w:sz w:val="20"/>
                <w:szCs w:val="20"/>
              </w:rPr>
              <w:t xml:space="preserve"> должны быть отражены наименование поставщика, дата предложения или </w:t>
            </w:r>
            <w:proofErr w:type="spellStart"/>
            <w:proofErr w:type="gramStart"/>
            <w:r w:rsidRPr="006A7DA3">
              <w:rPr>
                <w:rFonts w:eastAsia="Calibri" w:cs="Times New Roman"/>
                <w:sz w:val="20"/>
                <w:szCs w:val="20"/>
              </w:rPr>
              <w:t>гипер</w:t>
            </w:r>
            <w:proofErr w:type="spellEnd"/>
            <w:r w:rsidRPr="006A7DA3">
              <w:rPr>
                <w:rFonts w:eastAsia="Calibri" w:cs="Times New Roman"/>
                <w:sz w:val="20"/>
                <w:szCs w:val="20"/>
              </w:rPr>
              <w:t>-ссылка</w:t>
            </w:r>
            <w:proofErr w:type="gramEnd"/>
            <w:r w:rsidRPr="006A7DA3">
              <w:rPr>
                <w:rFonts w:eastAsia="Calibri" w:cs="Times New Roman"/>
                <w:sz w:val="20"/>
                <w:szCs w:val="20"/>
              </w:rPr>
              <w:t>, при условии получения информации из открытых источников сети-Интернет.</w:t>
            </w:r>
          </w:p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Стоимость, принятая при формировании сметной документации по коммерческим предложениям, прайс-листам должна содержать расшифровку включенных в нее затрат (условия поставки, налоги и сборы, тара, транспортные расходы, комплектация и проч.).</w:t>
            </w:r>
          </w:p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В каждой строке локальной сметы, где стоимость оборудования определенна по коммерческим предложениям, прайс-листам необходима расшифровка ценообразования.</w:t>
            </w:r>
          </w:p>
          <w:p w:rsidR="00B430D1" w:rsidRPr="006A7DA3" w:rsidRDefault="00B430D1" w:rsidP="00E3790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При составлении локальных смет на монтаж оборудования стоимость оборудования выделяется в отдельный раздел, а в позициях по монтажу указывается наименование устанавливаемого по данной расценке оборудования.</w:t>
            </w:r>
          </w:p>
        </w:tc>
      </w:tr>
      <w:tr w:rsidR="00B430D1" w:rsidRPr="006A7DA3" w:rsidTr="00E37905">
        <w:trPr>
          <w:trHeight w:val="263"/>
          <w:jc w:val="center"/>
        </w:trPr>
        <w:tc>
          <w:tcPr>
            <w:tcW w:w="59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6.</w:t>
            </w:r>
          </w:p>
        </w:tc>
        <w:tc>
          <w:tcPr>
            <w:tcW w:w="316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Размеры накладных расходов</w:t>
            </w:r>
          </w:p>
        </w:tc>
        <w:tc>
          <w:tcPr>
            <w:tcW w:w="6233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В соответствии с действующими нормативными документами по определению величины накладных расходов.</w:t>
            </w:r>
          </w:p>
        </w:tc>
      </w:tr>
      <w:tr w:rsidR="00B430D1" w:rsidRPr="006A7DA3" w:rsidTr="00E37905">
        <w:trPr>
          <w:trHeight w:val="263"/>
          <w:jc w:val="center"/>
        </w:trPr>
        <w:tc>
          <w:tcPr>
            <w:tcW w:w="59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7.</w:t>
            </w:r>
          </w:p>
        </w:tc>
        <w:tc>
          <w:tcPr>
            <w:tcW w:w="316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Размер сметной прибыли</w:t>
            </w:r>
          </w:p>
        </w:tc>
        <w:tc>
          <w:tcPr>
            <w:tcW w:w="6233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 xml:space="preserve">В соответствии с действующими нормативными документами по определению величины сметной прибыли. </w:t>
            </w:r>
          </w:p>
        </w:tc>
      </w:tr>
      <w:tr w:rsidR="00B430D1" w:rsidRPr="006A7DA3" w:rsidTr="00E37905">
        <w:trPr>
          <w:trHeight w:val="510"/>
          <w:jc w:val="center"/>
        </w:trPr>
        <w:tc>
          <w:tcPr>
            <w:tcW w:w="59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8.</w:t>
            </w:r>
          </w:p>
        </w:tc>
        <w:tc>
          <w:tcPr>
            <w:tcW w:w="316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 xml:space="preserve">Затраты на временные здания и сооружения </w:t>
            </w:r>
          </w:p>
        </w:tc>
        <w:tc>
          <w:tcPr>
            <w:tcW w:w="6233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 xml:space="preserve">В соответствии с действующими нормативными документами по определению затрат на временные здания и вооружения. </w:t>
            </w:r>
          </w:p>
          <w:p w:rsidR="00B430D1" w:rsidRPr="006A7DA3" w:rsidRDefault="00B430D1" w:rsidP="00E37905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Наличие затрат устанавливается Заказчиком. Затраты, не учтенные нормативом учитываются дополнительно локальными сметами, выполненными в соответствии с данными ПОС.</w:t>
            </w:r>
          </w:p>
        </w:tc>
      </w:tr>
      <w:tr w:rsidR="00B430D1" w:rsidRPr="006A7DA3" w:rsidTr="00E37905">
        <w:trPr>
          <w:trHeight w:val="350"/>
          <w:jc w:val="center"/>
        </w:trPr>
        <w:tc>
          <w:tcPr>
            <w:tcW w:w="59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9.</w:t>
            </w:r>
          </w:p>
        </w:tc>
        <w:tc>
          <w:tcPr>
            <w:tcW w:w="316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Затраты по гл. 1, 9, 10, 12 сводного сметного расчета</w:t>
            </w:r>
          </w:p>
        </w:tc>
        <w:tc>
          <w:tcPr>
            <w:tcW w:w="6233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 xml:space="preserve"> Затраты предусматриваются в соответствии  с </w:t>
            </w:r>
            <w:proofErr w:type="gramStart"/>
            <w:r w:rsidRPr="006A7DA3">
              <w:rPr>
                <w:rFonts w:eastAsia="Calibri" w:cs="Times New Roman"/>
                <w:sz w:val="20"/>
                <w:szCs w:val="20"/>
              </w:rPr>
              <w:t>действующими</w:t>
            </w:r>
            <w:proofErr w:type="gramEnd"/>
            <w:r w:rsidRPr="006A7DA3">
              <w:rPr>
                <w:rFonts w:eastAsia="Calibri" w:cs="Times New Roman"/>
                <w:sz w:val="20"/>
                <w:szCs w:val="20"/>
              </w:rPr>
              <w:t xml:space="preserve"> нормативными.</w:t>
            </w:r>
          </w:p>
        </w:tc>
      </w:tr>
      <w:tr w:rsidR="00B430D1" w:rsidRPr="006A7DA3" w:rsidTr="00E37905">
        <w:trPr>
          <w:trHeight w:val="350"/>
          <w:jc w:val="center"/>
        </w:trPr>
        <w:tc>
          <w:tcPr>
            <w:tcW w:w="59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10.</w:t>
            </w:r>
          </w:p>
        </w:tc>
        <w:tc>
          <w:tcPr>
            <w:tcW w:w="316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 xml:space="preserve">Резерв средств на непредвиденные расходы </w:t>
            </w:r>
          </w:p>
        </w:tc>
        <w:tc>
          <w:tcPr>
            <w:tcW w:w="6233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 xml:space="preserve">Наличие резерва и величина средств на непредвиденные расходы устанавливается Заказчиком. </w:t>
            </w:r>
          </w:p>
        </w:tc>
      </w:tr>
      <w:tr w:rsidR="00B430D1" w:rsidRPr="006A7DA3" w:rsidTr="00E37905">
        <w:trPr>
          <w:trHeight w:val="381"/>
          <w:jc w:val="center"/>
        </w:trPr>
        <w:tc>
          <w:tcPr>
            <w:tcW w:w="59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11.</w:t>
            </w:r>
          </w:p>
        </w:tc>
        <w:tc>
          <w:tcPr>
            <w:tcW w:w="316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Место вывоза демонтированных материалов и конструкций, вид транспорта, дальность транспортировки</w:t>
            </w:r>
          </w:p>
        </w:tc>
        <w:tc>
          <w:tcPr>
            <w:tcW w:w="6233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ind w:left="2" w:right="8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Расчеты выполнять в соответствии с ППР, согласованным Заказчиком. Расстояние перевозки принимается на основании транспортных схем, разработанных/согласованных с Заказчиком. Предусматривать возврат стоимости материалов от разборки.</w:t>
            </w:r>
          </w:p>
        </w:tc>
      </w:tr>
      <w:tr w:rsidR="00B430D1" w:rsidRPr="006A7DA3" w:rsidTr="00E37905">
        <w:trPr>
          <w:trHeight w:val="985"/>
          <w:jc w:val="center"/>
        </w:trPr>
        <w:tc>
          <w:tcPr>
            <w:tcW w:w="59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12.</w:t>
            </w:r>
          </w:p>
        </w:tc>
        <w:tc>
          <w:tcPr>
            <w:tcW w:w="3168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Дополнительные требования</w:t>
            </w:r>
          </w:p>
        </w:tc>
        <w:tc>
          <w:tcPr>
            <w:tcW w:w="6233" w:type="dxa"/>
            <w:shd w:val="clear" w:color="auto" w:fill="auto"/>
          </w:tcPr>
          <w:p w:rsidR="00B430D1" w:rsidRPr="006A7DA3" w:rsidRDefault="00B430D1" w:rsidP="00E37905">
            <w:pPr>
              <w:widowControl w:val="0"/>
              <w:shd w:val="clear" w:color="auto" w:fill="FFFFFF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 xml:space="preserve">Итоги в разделах локальных смет должны быть отражены по разделам сметы с начислением накладных расходов и сметной прибыли. </w:t>
            </w:r>
          </w:p>
          <w:p w:rsidR="00B430D1" w:rsidRPr="006A7DA3" w:rsidRDefault="00B430D1" w:rsidP="00E37905">
            <w:pPr>
              <w:ind w:left="2" w:right="8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A7DA3">
              <w:rPr>
                <w:rFonts w:eastAsia="Calibri" w:cs="Times New Roman"/>
                <w:sz w:val="20"/>
                <w:szCs w:val="20"/>
              </w:rPr>
              <w:t>В пояснительной записке к сметной документации указываются все применяемые индексы и коэффициенты.</w:t>
            </w:r>
          </w:p>
        </w:tc>
      </w:tr>
    </w:tbl>
    <w:p w:rsidR="00B430D1" w:rsidRDefault="00B430D1" w:rsidP="00B430D1">
      <w:pPr>
        <w:ind w:right="-2"/>
        <w:rPr>
          <w:b/>
          <w:szCs w:val="24"/>
        </w:rPr>
      </w:pPr>
    </w:p>
    <w:p w:rsidR="00361428" w:rsidRDefault="00361428" w:rsidP="005B50DF">
      <w:pPr>
        <w:tabs>
          <w:tab w:val="left" w:pos="6237"/>
        </w:tabs>
        <w:spacing w:line="240" w:lineRule="auto"/>
        <w:jc w:val="both"/>
        <w:rPr>
          <w:rFonts w:eastAsia="Times New Roman" w:cs="Times New Roman"/>
          <w:i/>
          <w:sz w:val="20"/>
          <w:szCs w:val="20"/>
        </w:rPr>
      </w:pPr>
    </w:p>
    <w:sectPr w:rsidR="00361428" w:rsidSect="005B50DF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A5" w:rsidRDefault="00B01CA5" w:rsidP="00AC06E0">
      <w:pPr>
        <w:spacing w:line="240" w:lineRule="auto"/>
      </w:pPr>
      <w:r>
        <w:separator/>
      </w:r>
    </w:p>
  </w:endnote>
  <w:endnote w:type="continuationSeparator" w:id="0">
    <w:p w:rsidR="00B01CA5" w:rsidRDefault="00B01CA5" w:rsidP="00AC0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400382"/>
      <w:docPartObj>
        <w:docPartGallery w:val="Page Numbers (Bottom of Page)"/>
        <w:docPartUnique/>
      </w:docPartObj>
    </w:sdtPr>
    <w:sdtEndPr/>
    <w:sdtContent>
      <w:p w:rsidR="00AC06E0" w:rsidRDefault="00AC06E0" w:rsidP="00E1568A">
        <w:pPr>
          <w:pStyle w:val="a9"/>
          <w:ind w:firstLine="70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28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A5" w:rsidRDefault="00B01CA5" w:rsidP="00AC06E0">
      <w:pPr>
        <w:spacing w:line="240" w:lineRule="auto"/>
      </w:pPr>
      <w:r>
        <w:separator/>
      </w:r>
    </w:p>
  </w:footnote>
  <w:footnote w:type="continuationSeparator" w:id="0">
    <w:p w:rsidR="00B01CA5" w:rsidRDefault="00B01CA5" w:rsidP="00AC06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21D28"/>
    <w:multiLevelType w:val="hybridMultilevel"/>
    <w:tmpl w:val="9BA47654"/>
    <w:lvl w:ilvl="0" w:tplc="F956E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F19C3"/>
    <w:multiLevelType w:val="hybridMultilevel"/>
    <w:tmpl w:val="225EF3B8"/>
    <w:lvl w:ilvl="0" w:tplc="F956E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517E2"/>
    <w:multiLevelType w:val="hybridMultilevel"/>
    <w:tmpl w:val="A8DA2E92"/>
    <w:lvl w:ilvl="0" w:tplc="EA14BE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3858"/>
    <w:multiLevelType w:val="hybridMultilevel"/>
    <w:tmpl w:val="836677AC"/>
    <w:lvl w:ilvl="0" w:tplc="F956E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D0ECC"/>
    <w:multiLevelType w:val="hybridMultilevel"/>
    <w:tmpl w:val="D3EEFA1E"/>
    <w:lvl w:ilvl="0" w:tplc="BD2A9FA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F323AF8"/>
    <w:multiLevelType w:val="hybridMultilevel"/>
    <w:tmpl w:val="F87A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C7ECC"/>
    <w:multiLevelType w:val="hybridMultilevel"/>
    <w:tmpl w:val="638A01C0"/>
    <w:lvl w:ilvl="0" w:tplc="F956E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E1499"/>
    <w:multiLevelType w:val="hybridMultilevel"/>
    <w:tmpl w:val="55AC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85"/>
    <w:rsid w:val="000126EE"/>
    <w:rsid w:val="00017E89"/>
    <w:rsid w:val="0002636B"/>
    <w:rsid w:val="00030CDF"/>
    <w:rsid w:val="000537FD"/>
    <w:rsid w:val="00054E2C"/>
    <w:rsid w:val="000616FE"/>
    <w:rsid w:val="00077EAE"/>
    <w:rsid w:val="000A3078"/>
    <w:rsid w:val="000B4940"/>
    <w:rsid w:val="000D17EF"/>
    <w:rsid w:val="0012627D"/>
    <w:rsid w:val="001429C8"/>
    <w:rsid w:val="0017053A"/>
    <w:rsid w:val="001A1767"/>
    <w:rsid w:val="001B1499"/>
    <w:rsid w:val="001C6117"/>
    <w:rsid w:val="001D1716"/>
    <w:rsid w:val="001D24B8"/>
    <w:rsid w:val="00217382"/>
    <w:rsid w:val="002246A4"/>
    <w:rsid w:val="00272B4F"/>
    <w:rsid w:val="002D319B"/>
    <w:rsid w:val="002E5CDF"/>
    <w:rsid w:val="002F29C6"/>
    <w:rsid w:val="003015E9"/>
    <w:rsid w:val="003128A1"/>
    <w:rsid w:val="00356B33"/>
    <w:rsid w:val="00360641"/>
    <w:rsid w:val="00361428"/>
    <w:rsid w:val="00365A0E"/>
    <w:rsid w:val="00371EBB"/>
    <w:rsid w:val="003A20A4"/>
    <w:rsid w:val="003B46D4"/>
    <w:rsid w:val="00402CEE"/>
    <w:rsid w:val="00403A1E"/>
    <w:rsid w:val="004131A0"/>
    <w:rsid w:val="00445FCF"/>
    <w:rsid w:val="004557B7"/>
    <w:rsid w:val="00474D0A"/>
    <w:rsid w:val="00475B4B"/>
    <w:rsid w:val="0048050B"/>
    <w:rsid w:val="004A325E"/>
    <w:rsid w:val="004A5CEF"/>
    <w:rsid w:val="004B3D66"/>
    <w:rsid w:val="004E7EA5"/>
    <w:rsid w:val="00516331"/>
    <w:rsid w:val="005168B2"/>
    <w:rsid w:val="00537B0E"/>
    <w:rsid w:val="00570C88"/>
    <w:rsid w:val="00572BC9"/>
    <w:rsid w:val="0059060A"/>
    <w:rsid w:val="005B50DF"/>
    <w:rsid w:val="005C112C"/>
    <w:rsid w:val="005C2C83"/>
    <w:rsid w:val="005D0BAF"/>
    <w:rsid w:val="005E14BC"/>
    <w:rsid w:val="00612EC2"/>
    <w:rsid w:val="00630871"/>
    <w:rsid w:val="00672E76"/>
    <w:rsid w:val="00675037"/>
    <w:rsid w:val="00682708"/>
    <w:rsid w:val="00683283"/>
    <w:rsid w:val="006941B0"/>
    <w:rsid w:val="006A156C"/>
    <w:rsid w:val="006A6009"/>
    <w:rsid w:val="006B0BA3"/>
    <w:rsid w:val="006B38B4"/>
    <w:rsid w:val="006C4074"/>
    <w:rsid w:val="006C7E99"/>
    <w:rsid w:val="00703E85"/>
    <w:rsid w:val="00721213"/>
    <w:rsid w:val="00726416"/>
    <w:rsid w:val="007A231F"/>
    <w:rsid w:val="007C600D"/>
    <w:rsid w:val="007D1389"/>
    <w:rsid w:val="007E1332"/>
    <w:rsid w:val="00803BAB"/>
    <w:rsid w:val="0080655F"/>
    <w:rsid w:val="00823ED7"/>
    <w:rsid w:val="00830C5B"/>
    <w:rsid w:val="00832CF8"/>
    <w:rsid w:val="00833789"/>
    <w:rsid w:val="00840765"/>
    <w:rsid w:val="00852581"/>
    <w:rsid w:val="00867748"/>
    <w:rsid w:val="008913FC"/>
    <w:rsid w:val="008B6600"/>
    <w:rsid w:val="008B7BCE"/>
    <w:rsid w:val="00902D79"/>
    <w:rsid w:val="00943390"/>
    <w:rsid w:val="00955AFF"/>
    <w:rsid w:val="009709F6"/>
    <w:rsid w:val="00995FD4"/>
    <w:rsid w:val="009A26F4"/>
    <w:rsid w:val="009A3950"/>
    <w:rsid w:val="009A6F11"/>
    <w:rsid w:val="009E17CB"/>
    <w:rsid w:val="00A04956"/>
    <w:rsid w:val="00A2054E"/>
    <w:rsid w:val="00A53547"/>
    <w:rsid w:val="00A82051"/>
    <w:rsid w:val="00AA2B5E"/>
    <w:rsid w:val="00AA2EF3"/>
    <w:rsid w:val="00AB079A"/>
    <w:rsid w:val="00AC06E0"/>
    <w:rsid w:val="00AF28B2"/>
    <w:rsid w:val="00B01CA5"/>
    <w:rsid w:val="00B430D1"/>
    <w:rsid w:val="00B46CD5"/>
    <w:rsid w:val="00B70585"/>
    <w:rsid w:val="00B73F25"/>
    <w:rsid w:val="00B91F5F"/>
    <w:rsid w:val="00BF62F5"/>
    <w:rsid w:val="00C034F4"/>
    <w:rsid w:val="00C13AD2"/>
    <w:rsid w:val="00C41A87"/>
    <w:rsid w:val="00CA017C"/>
    <w:rsid w:val="00CC1BA2"/>
    <w:rsid w:val="00CC2809"/>
    <w:rsid w:val="00CD0DD8"/>
    <w:rsid w:val="00CF5A78"/>
    <w:rsid w:val="00D0691E"/>
    <w:rsid w:val="00D100EE"/>
    <w:rsid w:val="00D11CE1"/>
    <w:rsid w:val="00D41BE9"/>
    <w:rsid w:val="00DB1627"/>
    <w:rsid w:val="00DD58CF"/>
    <w:rsid w:val="00DD6DBE"/>
    <w:rsid w:val="00E04542"/>
    <w:rsid w:val="00E1568A"/>
    <w:rsid w:val="00E22202"/>
    <w:rsid w:val="00E3310B"/>
    <w:rsid w:val="00E73B63"/>
    <w:rsid w:val="00E95CE0"/>
    <w:rsid w:val="00EB1B40"/>
    <w:rsid w:val="00EE70DD"/>
    <w:rsid w:val="00EF653E"/>
    <w:rsid w:val="00EF7FF6"/>
    <w:rsid w:val="00F35528"/>
    <w:rsid w:val="00F437C8"/>
    <w:rsid w:val="00F5488B"/>
    <w:rsid w:val="00F86561"/>
    <w:rsid w:val="00F90960"/>
    <w:rsid w:val="00FA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CF"/>
    <w:pPr>
      <w:spacing w:after="0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85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705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70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B70585"/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1B149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0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6E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C06E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6E0"/>
    <w:rPr>
      <w:rFonts w:ascii="Times New Roman" w:eastAsiaTheme="minorEastAsia" w:hAnsi="Times New Roman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AC06E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6E0"/>
    <w:rPr>
      <w:rFonts w:ascii="Times New Roman" w:eastAsiaTheme="minorEastAsia" w:hAnsi="Times New Roman"/>
      <w:sz w:val="24"/>
      <w:lang w:eastAsia="ru-RU"/>
    </w:rPr>
  </w:style>
  <w:style w:type="paragraph" w:customStyle="1" w:styleId="Default">
    <w:name w:val="Default"/>
    <w:rsid w:val="00445FC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91F5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1F5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91F5F"/>
    <w:rPr>
      <w:rFonts w:ascii="Times New Roman" w:eastAsiaTheme="minorEastAsia" w:hAnsi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1F5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91F5F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CF"/>
    <w:pPr>
      <w:spacing w:after="0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85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705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70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B70585"/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1B149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0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6E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C06E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6E0"/>
    <w:rPr>
      <w:rFonts w:ascii="Times New Roman" w:eastAsiaTheme="minorEastAsia" w:hAnsi="Times New Roman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AC06E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6E0"/>
    <w:rPr>
      <w:rFonts w:ascii="Times New Roman" w:eastAsiaTheme="minorEastAsia" w:hAnsi="Times New Roman"/>
      <w:sz w:val="24"/>
      <w:lang w:eastAsia="ru-RU"/>
    </w:rPr>
  </w:style>
  <w:style w:type="paragraph" w:customStyle="1" w:styleId="Default">
    <w:name w:val="Default"/>
    <w:rsid w:val="00445FC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91F5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1F5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91F5F"/>
    <w:rPr>
      <w:rFonts w:ascii="Times New Roman" w:eastAsiaTheme="minorEastAsia" w:hAnsi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1F5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91F5F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4CD4-05D7-4C9B-9B0C-F25A10FB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Пресняков Олег Евгеньевич</dc:creator>
  <cp:lastModifiedBy>Нерадовский Константин Анатольевич</cp:lastModifiedBy>
  <cp:revision>2</cp:revision>
  <dcterms:created xsi:type="dcterms:W3CDTF">2019-08-05T09:07:00Z</dcterms:created>
  <dcterms:modified xsi:type="dcterms:W3CDTF">2019-08-05T09:07:00Z</dcterms:modified>
</cp:coreProperties>
</file>