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EFF8A" w14:textId="77777777" w:rsidR="008C2EB7" w:rsidRPr="00E22580" w:rsidRDefault="00040552">
      <w:pPr>
        <w:pStyle w:val="10"/>
        <w:spacing w:line="240" w:lineRule="auto"/>
        <w:ind w:left="5670"/>
        <w:rPr>
          <w:b/>
          <w:lang w:val="en-US"/>
        </w:rPr>
      </w:pPr>
      <w:r>
        <w:rPr>
          <w:b/>
          <w:lang w:val="en-US"/>
        </w:rPr>
        <w:t>APPROVED BY</w:t>
      </w:r>
      <w:r w:rsidR="00221711" w:rsidRPr="00E22580">
        <w:rPr>
          <w:b/>
          <w:lang w:val="en-US"/>
        </w:rPr>
        <w:t>:</w:t>
      </w:r>
    </w:p>
    <w:p w14:paraId="203E3278" w14:textId="77777777" w:rsidR="008C2EB7" w:rsidRPr="00E22580" w:rsidRDefault="008C2EB7">
      <w:pPr>
        <w:pStyle w:val="10"/>
        <w:spacing w:line="240" w:lineRule="auto"/>
        <w:ind w:left="5670"/>
        <w:rPr>
          <w:b/>
          <w:lang w:val="en-US"/>
        </w:rPr>
      </w:pPr>
    </w:p>
    <w:p w14:paraId="0D22D733" w14:textId="77777777" w:rsidR="008C2EB7" w:rsidRPr="00E22580" w:rsidRDefault="00221711">
      <w:pPr>
        <w:pStyle w:val="10"/>
        <w:spacing w:line="240" w:lineRule="auto"/>
        <w:ind w:left="5670"/>
        <w:rPr>
          <w:b/>
          <w:lang w:val="en-US"/>
        </w:rPr>
      </w:pPr>
      <w:r w:rsidRPr="00E22580">
        <w:rPr>
          <w:b/>
          <w:lang w:val="en-US"/>
        </w:rPr>
        <w:t xml:space="preserve">_________________/_____________ </w:t>
      </w:r>
    </w:p>
    <w:p w14:paraId="0CA67C73" w14:textId="77777777" w:rsidR="008C2EB7" w:rsidRPr="00E22580" w:rsidRDefault="00221711">
      <w:pPr>
        <w:pStyle w:val="10"/>
        <w:spacing w:line="240" w:lineRule="auto"/>
        <w:ind w:left="5670"/>
        <w:rPr>
          <w:sz w:val="32"/>
          <w:szCs w:val="32"/>
          <w:lang w:val="en-US"/>
        </w:rPr>
      </w:pPr>
      <w:r w:rsidRPr="00E22580">
        <w:rPr>
          <w:b/>
          <w:lang w:val="en-US"/>
        </w:rPr>
        <w:t xml:space="preserve"> «_____» ________________ 2020 </w:t>
      </w:r>
    </w:p>
    <w:p w14:paraId="6A00EEBD" w14:textId="77777777" w:rsidR="008C2EB7" w:rsidRPr="007A2F2B" w:rsidRDefault="00040552">
      <w:pPr>
        <w:pStyle w:val="1"/>
        <w:rPr>
          <w:lang w:val="en-US"/>
        </w:rPr>
      </w:pPr>
      <w:r w:rsidRPr="007A2F2B">
        <w:rPr>
          <w:lang w:val="en-US"/>
        </w:rPr>
        <w:t>TERMS OF REFERENCE</w:t>
      </w:r>
    </w:p>
    <w:p w14:paraId="40D3B3E2" w14:textId="492DD92E" w:rsidR="008C2EB7" w:rsidRPr="007A2F2B" w:rsidRDefault="00154D2D" w:rsidP="00CA75DD">
      <w:pPr>
        <w:jc w:val="center"/>
        <w:rPr>
          <w:b/>
          <w:lang w:val="en-US"/>
        </w:rPr>
      </w:pPr>
      <w:r w:rsidRPr="007A2F2B">
        <w:rPr>
          <w:b/>
          <w:bCs/>
          <w:lang w:val="en-US"/>
        </w:rPr>
        <w:t>for supply, installation and adjustment of turnkey process brewery restaurant equipment with a capacity of 3 600 HL per year</w:t>
      </w:r>
      <w:r w:rsidR="001D0E5D" w:rsidRPr="007A2F2B">
        <w:rPr>
          <w:b/>
          <w:lang w:val="en-US"/>
        </w:rPr>
        <w:t xml:space="preserve">- second priority object: “Recreational compound” with an address at: Krasnodar Krai, Sochi, Adler region,  village settlement </w:t>
      </w:r>
      <w:proofErr w:type="spellStart"/>
      <w:r w:rsidR="001D0E5D" w:rsidRPr="007A2F2B">
        <w:rPr>
          <w:b/>
          <w:lang w:val="en-US"/>
        </w:rPr>
        <w:t>Esto-Sadok</w:t>
      </w:r>
      <w:proofErr w:type="spellEnd"/>
      <w:r w:rsidR="00A21CC0" w:rsidRPr="007A2F2B">
        <w:rPr>
          <w:b/>
          <w:lang w:val="en-US"/>
        </w:rPr>
        <w:t xml:space="preserve">, the northern slope of the </w:t>
      </w:r>
      <w:proofErr w:type="spellStart"/>
      <w:r w:rsidR="00A21CC0" w:rsidRPr="007A2F2B">
        <w:rPr>
          <w:b/>
          <w:lang w:val="en-US"/>
        </w:rPr>
        <w:t>Aibga</w:t>
      </w:r>
      <w:proofErr w:type="spellEnd"/>
      <w:r w:rsidR="00A21CC0" w:rsidRPr="007A2F2B">
        <w:rPr>
          <w:b/>
          <w:lang w:val="en-US"/>
        </w:rPr>
        <w:t xml:space="preserve"> Ridge, +960 level </w:t>
      </w:r>
    </w:p>
    <w:p w14:paraId="14A8BC2C" w14:textId="77777777" w:rsidR="008C2EB7" w:rsidRPr="007A2F2B" w:rsidRDefault="008C2EB7">
      <w:pPr>
        <w:pStyle w:val="10"/>
        <w:spacing w:line="240" w:lineRule="auto"/>
        <w:jc w:val="both"/>
        <w:rPr>
          <w:b/>
          <w:lang w:val="en-US"/>
        </w:rPr>
      </w:pPr>
    </w:p>
    <w:tbl>
      <w:tblPr>
        <w:tblStyle w:val="a5"/>
        <w:tblW w:w="95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6"/>
      </w:tblGrid>
      <w:tr w:rsidR="008C2EB7" w:rsidRPr="007A2F2B" w14:paraId="4540A6CE" w14:textId="77777777">
        <w:tc>
          <w:tcPr>
            <w:tcW w:w="3085" w:type="dxa"/>
          </w:tcPr>
          <w:p w14:paraId="28479A02" w14:textId="77777777" w:rsidR="008C2EB7" w:rsidRPr="007A2F2B" w:rsidRDefault="00A21CC0">
            <w:pPr>
              <w:pStyle w:val="10"/>
              <w:rPr>
                <w:b/>
              </w:rPr>
            </w:pPr>
            <w:r w:rsidRPr="007A2F2B">
              <w:rPr>
                <w:lang w:val="en-US"/>
              </w:rPr>
              <w:t>C</w:t>
            </w:r>
            <w:proofErr w:type="spellStart"/>
            <w:r w:rsidRPr="007A2F2B">
              <w:t>ontract</w:t>
            </w:r>
            <w:proofErr w:type="spellEnd"/>
            <w:r w:rsidRPr="007A2F2B">
              <w:t xml:space="preserve"> </w:t>
            </w:r>
            <w:proofErr w:type="spellStart"/>
            <w:r w:rsidRPr="007A2F2B">
              <w:t>tendered</w:t>
            </w:r>
            <w:proofErr w:type="spellEnd"/>
          </w:p>
        </w:tc>
        <w:tc>
          <w:tcPr>
            <w:tcW w:w="6486" w:type="dxa"/>
          </w:tcPr>
          <w:p w14:paraId="5DEC1724" w14:textId="58BD170D" w:rsidR="008C2EB7" w:rsidRPr="007A2F2B" w:rsidRDefault="00CA75DD" w:rsidP="0084283F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 xml:space="preserve">Supply, installation and adjustment of turnkey process brewery restaurant equipment with a capacity of 3 600 HL per year </w:t>
            </w:r>
            <w:r w:rsidR="0084283F" w:rsidRPr="007A2F2B">
              <w:rPr>
                <w:lang w:val="en-US"/>
              </w:rPr>
              <w:t xml:space="preserve">- second priority object: “Recreational compound” with an address at: Krasnodar Krai, Sochi, Adler region, village settlement </w:t>
            </w:r>
            <w:proofErr w:type="spellStart"/>
            <w:r w:rsidR="0084283F" w:rsidRPr="007A2F2B">
              <w:rPr>
                <w:lang w:val="en-US"/>
              </w:rPr>
              <w:t>Esto-Sadok</w:t>
            </w:r>
            <w:proofErr w:type="spellEnd"/>
            <w:r w:rsidR="0084283F" w:rsidRPr="007A2F2B">
              <w:rPr>
                <w:lang w:val="en-US"/>
              </w:rPr>
              <w:t xml:space="preserve">, the northern slope of the </w:t>
            </w:r>
            <w:proofErr w:type="spellStart"/>
            <w:r w:rsidR="0084283F" w:rsidRPr="007A2F2B">
              <w:rPr>
                <w:lang w:val="en-US"/>
              </w:rPr>
              <w:t>Aibga</w:t>
            </w:r>
            <w:proofErr w:type="spellEnd"/>
            <w:r w:rsidR="0084283F" w:rsidRPr="007A2F2B">
              <w:rPr>
                <w:lang w:val="en-US"/>
              </w:rPr>
              <w:t xml:space="preserve"> Ridge, +960 level </w:t>
            </w:r>
            <w:r w:rsidR="00221711" w:rsidRPr="007A2F2B">
              <w:rPr>
                <w:lang w:val="en-US"/>
              </w:rPr>
              <w:t xml:space="preserve"> </w:t>
            </w:r>
          </w:p>
        </w:tc>
      </w:tr>
      <w:tr w:rsidR="008C2EB7" w:rsidRPr="007A2F2B" w14:paraId="40A6B811" w14:textId="77777777">
        <w:tc>
          <w:tcPr>
            <w:tcW w:w="3085" w:type="dxa"/>
          </w:tcPr>
          <w:p w14:paraId="5C4C07CC" w14:textId="77777777" w:rsidR="008C2EB7" w:rsidRPr="007A2F2B" w:rsidRDefault="00352943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Name of object</w:t>
            </w:r>
          </w:p>
        </w:tc>
        <w:tc>
          <w:tcPr>
            <w:tcW w:w="6486" w:type="dxa"/>
          </w:tcPr>
          <w:p w14:paraId="6BD40A94" w14:textId="77777777" w:rsidR="008C2EB7" w:rsidRPr="007A2F2B" w:rsidRDefault="0084283F" w:rsidP="0084283F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“Recreational compound” (Second  priority) - Brewpub</w:t>
            </w:r>
          </w:p>
        </w:tc>
      </w:tr>
      <w:tr w:rsidR="008C2EB7" w:rsidRPr="007A2F2B" w14:paraId="59391AC3" w14:textId="77777777">
        <w:tc>
          <w:tcPr>
            <w:tcW w:w="3085" w:type="dxa"/>
          </w:tcPr>
          <w:p w14:paraId="56F03805" w14:textId="77777777" w:rsidR="008C2EB7" w:rsidRPr="007A2F2B" w:rsidRDefault="00352943">
            <w:pPr>
              <w:pStyle w:val="10"/>
              <w:rPr>
                <w:b/>
                <w:lang w:val="en-US"/>
              </w:rPr>
            </w:pPr>
            <w:r w:rsidRPr="007A2F2B">
              <w:rPr>
                <w:lang w:val="en-US"/>
              </w:rPr>
              <w:t>Object location</w:t>
            </w:r>
          </w:p>
        </w:tc>
        <w:tc>
          <w:tcPr>
            <w:tcW w:w="6486" w:type="dxa"/>
          </w:tcPr>
          <w:p w14:paraId="58A1FB78" w14:textId="77777777" w:rsidR="008C2EB7" w:rsidRPr="007A2F2B" w:rsidRDefault="00221711" w:rsidP="0084283F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 xml:space="preserve">354392 </w:t>
            </w:r>
            <w:r w:rsidR="0084283F" w:rsidRPr="007A2F2B">
              <w:rPr>
                <w:lang w:val="en-US"/>
              </w:rPr>
              <w:t xml:space="preserve">Krasnodar Krai, Sochi, Adler region,  village settlement </w:t>
            </w:r>
            <w:proofErr w:type="spellStart"/>
            <w:r w:rsidR="0084283F" w:rsidRPr="007A2F2B">
              <w:rPr>
                <w:lang w:val="en-US"/>
              </w:rPr>
              <w:t>Esto-Sadok</w:t>
            </w:r>
            <w:proofErr w:type="spellEnd"/>
            <w:r w:rsidR="0084283F" w:rsidRPr="007A2F2B">
              <w:rPr>
                <w:lang w:val="en-US"/>
              </w:rPr>
              <w:t xml:space="preserve">, the northern slope of the </w:t>
            </w:r>
            <w:proofErr w:type="spellStart"/>
            <w:r w:rsidR="0084283F" w:rsidRPr="007A2F2B">
              <w:rPr>
                <w:lang w:val="en-US"/>
              </w:rPr>
              <w:t>Aibga</w:t>
            </w:r>
            <w:proofErr w:type="spellEnd"/>
            <w:r w:rsidR="0084283F" w:rsidRPr="007A2F2B">
              <w:rPr>
                <w:lang w:val="en-US"/>
              </w:rPr>
              <w:t xml:space="preserve"> Ridge, +960 level </w:t>
            </w:r>
          </w:p>
        </w:tc>
      </w:tr>
      <w:tr w:rsidR="008C2EB7" w:rsidRPr="007A2F2B" w14:paraId="52136644" w14:textId="77777777">
        <w:tc>
          <w:tcPr>
            <w:tcW w:w="3085" w:type="dxa"/>
          </w:tcPr>
          <w:p w14:paraId="7EC48174" w14:textId="77777777" w:rsidR="008C2EB7" w:rsidRPr="007A2F2B" w:rsidRDefault="00352943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Type of construction</w:t>
            </w:r>
          </w:p>
        </w:tc>
        <w:tc>
          <w:tcPr>
            <w:tcW w:w="6486" w:type="dxa"/>
          </w:tcPr>
          <w:p w14:paraId="53A73E71" w14:textId="77777777" w:rsidR="008C2EB7" w:rsidRPr="007A2F2B" w:rsidRDefault="0084283F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New construction</w:t>
            </w:r>
          </w:p>
        </w:tc>
      </w:tr>
      <w:tr w:rsidR="008C2EB7" w:rsidRPr="007A2F2B" w14:paraId="411DA551" w14:textId="77777777">
        <w:tc>
          <w:tcPr>
            <w:tcW w:w="3085" w:type="dxa"/>
          </w:tcPr>
          <w:p w14:paraId="4D472A26" w14:textId="77777777" w:rsidR="008C2EB7" w:rsidRPr="007A2F2B" w:rsidRDefault="00A56FB5">
            <w:pPr>
              <w:pStyle w:val="10"/>
              <w:rPr>
                <w:b/>
                <w:lang w:val="en-US"/>
              </w:rPr>
            </w:pPr>
            <w:r w:rsidRPr="007A2F2B">
              <w:rPr>
                <w:lang w:val="en-US"/>
              </w:rPr>
              <w:t>W</w:t>
            </w:r>
            <w:r w:rsidR="00352943" w:rsidRPr="007A2F2B">
              <w:rPr>
                <w:lang w:val="en-US"/>
              </w:rPr>
              <w:t xml:space="preserve">ork completion time (stages) and </w:t>
            </w:r>
            <w:r w:rsidRPr="007A2F2B">
              <w:rPr>
                <w:lang w:val="en-US"/>
              </w:rPr>
              <w:t>terms of work</w:t>
            </w:r>
          </w:p>
        </w:tc>
        <w:tc>
          <w:tcPr>
            <w:tcW w:w="6486" w:type="dxa"/>
          </w:tcPr>
          <w:p w14:paraId="3E28DFC7" w14:textId="77777777" w:rsidR="008C2EB7" w:rsidRPr="007A2F2B" w:rsidRDefault="0084283F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Delivery period and work completion time should</w:t>
            </w:r>
            <w:r w:rsidR="00E22580" w:rsidRPr="007A2F2B">
              <w:rPr>
                <w:lang w:val="en-US"/>
              </w:rPr>
              <w:t xml:space="preserve"> be </w:t>
            </w:r>
            <w:r w:rsidRPr="007A2F2B">
              <w:rPr>
                <w:lang w:val="en-US"/>
              </w:rPr>
              <w:t xml:space="preserve">not more than 11 (eleven) months from </w:t>
            </w:r>
            <w:r w:rsidR="00A006C3" w:rsidRPr="007A2F2B">
              <w:rPr>
                <w:lang w:val="en-US"/>
              </w:rPr>
              <w:t>date of making the prepayment</w:t>
            </w:r>
            <w:r w:rsidR="00221711" w:rsidRPr="007A2F2B">
              <w:rPr>
                <w:lang w:val="en-US"/>
              </w:rPr>
              <w:t>.</w:t>
            </w:r>
          </w:p>
        </w:tc>
      </w:tr>
      <w:tr w:rsidR="0040072A" w:rsidRPr="007A2F2B" w14:paraId="30CE67E1" w14:textId="77777777">
        <w:tc>
          <w:tcPr>
            <w:tcW w:w="3085" w:type="dxa"/>
          </w:tcPr>
          <w:p w14:paraId="295BEDF8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Type and scope of performing works</w:t>
            </w:r>
          </w:p>
        </w:tc>
        <w:tc>
          <w:tcPr>
            <w:tcW w:w="6486" w:type="dxa"/>
          </w:tcPr>
          <w:p w14:paraId="794C2D7A" w14:textId="77777777" w:rsidR="0040072A" w:rsidRPr="007A2F2B" w:rsidRDefault="0040072A" w:rsidP="0040072A">
            <w:pPr>
              <w:pStyle w:val="a8"/>
              <w:jc w:val="left"/>
              <w:rPr>
                <w:rFonts w:ascii="Times New Roman" w:eastAsia="Times New Roman" w:hAnsi="Times New Roman" w:cs="Times New Roman"/>
                <w:b w:val="0"/>
                <w:snapToGrid w:val="0"/>
                <w:color w:val="auto"/>
                <w:lang w:val="en-US" w:eastAsia="ru-RU"/>
              </w:rPr>
            </w:pPr>
            <w:r w:rsidRPr="007A2F2B">
              <w:rPr>
                <w:rFonts w:ascii="Times New Roman" w:eastAsia="Times New Roman" w:hAnsi="Times New Roman" w:cs="Times New Roman"/>
                <w:b w:val="0"/>
                <w:snapToGrid w:val="0"/>
                <w:color w:val="auto"/>
                <w:lang w:val="en-US" w:eastAsia="ru-RU"/>
              </w:rPr>
              <w:t>The scope of installation and commissioning work should include (but not be limited to):</w:t>
            </w:r>
          </w:p>
          <w:p w14:paraId="319C3991" w14:textId="77777777" w:rsidR="0040072A" w:rsidRPr="007A2F2B" w:rsidRDefault="0040072A" w:rsidP="0040072A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540"/>
              </w:tabs>
              <w:kinsoku w:val="0"/>
              <w:ind w:left="340" w:hanging="340"/>
              <w:jc w:val="both"/>
              <w:rPr>
                <w:rFonts w:ascii="Times New Roman" w:eastAsia="Times New Roman" w:hAnsi="Times New Roman"/>
                <w:snapToGrid w:val="0"/>
                <w:szCs w:val="24"/>
                <w:lang w:val="en-US"/>
              </w:rPr>
            </w:pPr>
            <w:r w:rsidRPr="007A2F2B">
              <w:rPr>
                <w:rFonts w:ascii="Times New Roman" w:eastAsia="Times New Roman" w:hAnsi="Times New Roman"/>
                <w:snapToGrid w:val="0"/>
                <w:szCs w:val="24"/>
                <w:lang w:val="en-US"/>
              </w:rPr>
              <w:t>CAD layout plan which includes:</w:t>
            </w:r>
          </w:p>
          <w:p w14:paraId="26368F03" w14:textId="34FBF7B2" w:rsidR="0040072A" w:rsidRPr="007A2F2B" w:rsidRDefault="0040072A" w:rsidP="0040072A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drainage incl. needed inclination of the floor;</w:t>
            </w:r>
          </w:p>
          <w:p w14:paraId="16193CA3" w14:textId="415A35E4" w:rsidR="0040072A" w:rsidRPr="007A2F2B" w:rsidRDefault="0040072A" w:rsidP="0040072A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all needed electrical connection points;</w:t>
            </w:r>
          </w:p>
          <w:p w14:paraId="6137E4D2" w14:textId="3CD23795" w:rsidR="0040072A" w:rsidRPr="007A2F2B" w:rsidRDefault="0040072A" w:rsidP="0040072A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all needed water connection points;</w:t>
            </w:r>
          </w:p>
          <w:p w14:paraId="3852418D" w14:textId="67AB1B1B" w:rsidR="0040072A" w:rsidRPr="007A2F2B" w:rsidRDefault="0040072A" w:rsidP="0040072A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minimum room heights;</w:t>
            </w:r>
          </w:p>
          <w:p w14:paraId="46A9A254" w14:textId="2A3BBBB1" w:rsidR="0040072A" w:rsidRPr="007A2F2B" w:rsidRDefault="0040072A" w:rsidP="0040072A">
            <w:pPr>
              <w:widowControl w:val="0"/>
              <w:numPr>
                <w:ilvl w:val="0"/>
                <w:numId w:val="4"/>
              </w:numPr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floor loads.</w:t>
            </w:r>
          </w:p>
          <w:p w14:paraId="4DDF6C75" w14:textId="77777777" w:rsidR="0040072A" w:rsidRPr="007A2F2B" w:rsidRDefault="0040072A" w:rsidP="0040072A">
            <w:pPr>
              <w:widowControl w:val="0"/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b) Technical check list for each room with brewery equipment with a description of the technical requirements like floor loads, electrical connections and water connections, needed fresh air and type of the floors and walls.</w:t>
            </w:r>
          </w:p>
          <w:p w14:paraId="2310E50E" w14:textId="77777777" w:rsidR="0040072A" w:rsidRPr="007A2F2B" w:rsidRDefault="0040072A" w:rsidP="0040072A">
            <w:pPr>
              <w:widowControl w:val="0"/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c) Installation of brewing equipment;</w:t>
            </w:r>
          </w:p>
          <w:p w14:paraId="5A301DC8" w14:textId="77777777" w:rsidR="0040072A" w:rsidRPr="007A2F2B" w:rsidRDefault="0040072A" w:rsidP="0040072A">
            <w:pPr>
              <w:widowControl w:val="0"/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d) Piping of equipment.</w:t>
            </w:r>
          </w:p>
          <w:p w14:paraId="02F35761" w14:textId="77777777" w:rsidR="0040072A" w:rsidRPr="007A2F2B" w:rsidRDefault="0040072A" w:rsidP="0040072A">
            <w:pPr>
              <w:widowControl w:val="0"/>
              <w:tabs>
                <w:tab w:val="left" w:pos="540"/>
              </w:tabs>
              <w:kinsoku w:val="0"/>
              <w:jc w:val="both"/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e) Commissioning and producing of two batches of beer.</w:t>
            </w:r>
          </w:p>
          <w:p w14:paraId="4C6BCFEC" w14:textId="77777777" w:rsidR="0040072A" w:rsidRPr="007A2F2B" w:rsidRDefault="0040072A" w:rsidP="0040072A">
            <w:pPr>
              <w:rPr>
                <w:snapToGrid w:val="0"/>
                <w:lang w:val="en-US"/>
              </w:rPr>
            </w:pPr>
            <w:r w:rsidRPr="007A2F2B">
              <w:rPr>
                <w:snapToGrid w:val="0"/>
                <w:lang w:val="en-US"/>
              </w:rPr>
              <w:t>f) Transfer of documentation for the equipment including technological documents for the equipment, as-built drawings, concealed works acceptance acts, tests, etc. according to the existing legislative system.</w:t>
            </w:r>
          </w:p>
          <w:p w14:paraId="36DF550B" w14:textId="4C3A729F" w:rsidR="0040072A" w:rsidRPr="007A2F2B" w:rsidRDefault="0040072A" w:rsidP="0040072A">
            <w:pPr>
              <w:pStyle w:val="10"/>
              <w:rPr>
                <w:snapToGrid w:val="0"/>
                <w:lang w:val="en-US"/>
              </w:rPr>
            </w:pPr>
          </w:p>
        </w:tc>
      </w:tr>
      <w:tr w:rsidR="0040072A" w:rsidRPr="007A2F2B" w14:paraId="3045DF90" w14:textId="77777777">
        <w:tc>
          <w:tcPr>
            <w:tcW w:w="3085" w:type="dxa"/>
          </w:tcPr>
          <w:p w14:paraId="7973F741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Requirements to employed materials and equipment</w:t>
            </w:r>
          </w:p>
        </w:tc>
        <w:tc>
          <w:tcPr>
            <w:tcW w:w="6486" w:type="dxa"/>
          </w:tcPr>
          <w:p w14:paraId="70E1749E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1. The Contractor provides by himself the necessary materials and equipment.</w:t>
            </w:r>
          </w:p>
          <w:p w14:paraId="3BD2F547" w14:textId="3401443C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2. The quality of the equipment supplied must comply with the standards specified in the certificate of the manufacturer and the international quality standards according to the CE norms.</w:t>
            </w:r>
          </w:p>
          <w:p w14:paraId="06996C0B" w14:textId="1C7BCD8E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 xml:space="preserve">3. Technological brewing equipment with the total capacity 3600 </w:t>
            </w:r>
            <w:r w:rsidR="00DB3496" w:rsidRPr="007A2F2B">
              <w:rPr>
                <w:lang w:val="en-US"/>
              </w:rPr>
              <w:t>HL</w:t>
            </w:r>
            <w:r w:rsidRPr="007A2F2B">
              <w:rPr>
                <w:lang w:val="en-US"/>
              </w:rPr>
              <w:t xml:space="preserve"> per year (</w:t>
            </w:r>
            <w:r w:rsidR="00DB3496" w:rsidRPr="007A2F2B">
              <w:rPr>
                <w:lang w:val="en-US"/>
              </w:rPr>
              <w:t>with further possible expansion of production</w:t>
            </w:r>
            <w:r w:rsidRPr="007A2F2B">
              <w:rPr>
                <w:lang w:val="en-US"/>
              </w:rPr>
              <w:t>) should contain the following units:</w:t>
            </w:r>
          </w:p>
          <w:p w14:paraId="46D29E17" w14:textId="03FDBE6C" w:rsidR="0040072A" w:rsidRPr="007A2F2B" w:rsidRDefault="00DB3496" w:rsidP="0040072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lang w:val="en-US"/>
              </w:rPr>
              <w:lastRenderedPageBreak/>
              <w:t>Malt grinding system with grinder output of 1 200 kg per hour and with direct transportation of grinded malt to boiler</w:t>
            </w:r>
            <w:r w:rsidR="0040072A" w:rsidRPr="007A2F2B">
              <w:rPr>
                <w:color w:val="000000"/>
                <w:lang w:val="en-US"/>
              </w:rPr>
              <w:t>.</w:t>
            </w:r>
          </w:p>
          <w:p w14:paraId="1907A5C2" w14:textId="77777777" w:rsidR="0040072A" w:rsidRPr="007A2F2B" w:rsidRDefault="0040072A" w:rsidP="0040072A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A2F2B">
              <w:rPr>
                <w:color w:val="000000"/>
                <w:lang w:val="en-US"/>
              </w:rPr>
              <w:t>Brewing line</w:t>
            </w:r>
            <w:r w:rsidRPr="007A2F2B">
              <w:rPr>
                <w:color w:val="000000"/>
              </w:rPr>
              <w:t>:</w:t>
            </w:r>
          </w:p>
          <w:p w14:paraId="556ECF4E" w14:textId="7490AC79" w:rsidR="0040072A" w:rsidRPr="007A2F2B" w:rsidRDefault="0040072A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A2F2B">
              <w:rPr>
                <w:color w:val="000000"/>
              </w:rPr>
              <w:t>2000</w:t>
            </w:r>
            <w:r w:rsidRPr="007A2F2B">
              <w:rPr>
                <w:color w:val="000000"/>
                <w:lang w:val="en-US"/>
              </w:rPr>
              <w:t xml:space="preserve"> </w:t>
            </w:r>
            <w:r w:rsidR="00275792" w:rsidRPr="007A2F2B">
              <w:rPr>
                <w:color w:val="000000"/>
                <w:lang w:val="en-US"/>
              </w:rPr>
              <w:t>L</w:t>
            </w:r>
            <w:r w:rsidRPr="007A2F2B">
              <w:rPr>
                <w:color w:val="000000"/>
                <w:lang w:val="en-US"/>
              </w:rPr>
              <w:t xml:space="preserve"> per brewing</w:t>
            </w:r>
            <w:r w:rsidRPr="007A2F2B">
              <w:rPr>
                <w:color w:val="000000"/>
              </w:rPr>
              <w:t>;</w:t>
            </w:r>
          </w:p>
          <w:p w14:paraId="1713B649" w14:textId="37692E86" w:rsidR="0040072A" w:rsidRPr="007A2F2B" w:rsidRDefault="0040072A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the possibility of infusion mash and mashing-off method; </w:t>
            </w:r>
            <w:r w:rsidR="00275792" w:rsidRPr="007A2F2B">
              <w:rPr>
                <w:color w:val="000000"/>
                <w:lang w:val="en-US"/>
              </w:rPr>
              <w:t>(possibility of mashing by the tincture method and the cooking method)</w:t>
            </w:r>
          </w:p>
          <w:p w14:paraId="6A44C4EA" w14:textId="77777777" w:rsidR="0040072A" w:rsidRPr="007A2F2B" w:rsidRDefault="0040072A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copper decorative coating of the boiling pots;</w:t>
            </w:r>
          </w:p>
          <w:p w14:paraId="6B434043" w14:textId="50438BF2" w:rsidR="0040072A" w:rsidRPr="007A2F2B" w:rsidRDefault="006F6CD7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lang w:val="en-US"/>
              </w:rPr>
              <w:t xml:space="preserve">three-vessel brewing line </w:t>
            </w:r>
            <w:r w:rsidR="00C9654F" w:rsidRPr="007A2F2B">
              <w:rPr>
                <w:color w:val="000000"/>
                <w:lang w:val="en-US"/>
              </w:rPr>
              <w:t xml:space="preserve">including </w:t>
            </w:r>
            <w:r w:rsidR="004E1CC9" w:rsidRPr="007A2F2B">
              <w:rPr>
                <w:color w:val="000000"/>
                <w:lang w:val="en-US"/>
              </w:rPr>
              <w:t xml:space="preserve">the </w:t>
            </w:r>
            <w:r w:rsidR="00C9654F" w:rsidRPr="007A2F2B">
              <w:rPr>
                <w:color w:val="000000"/>
                <w:lang w:val="en-US"/>
              </w:rPr>
              <w:t xml:space="preserve">wort kettle, </w:t>
            </w:r>
            <w:r w:rsidR="004E1CC9" w:rsidRPr="007A2F2B">
              <w:rPr>
                <w:color w:val="000000"/>
                <w:lang w:val="en-US"/>
              </w:rPr>
              <w:t xml:space="preserve">the </w:t>
            </w:r>
            <w:proofErr w:type="spellStart"/>
            <w:r w:rsidR="00C9654F" w:rsidRPr="007A2F2B">
              <w:rPr>
                <w:color w:val="000000"/>
                <w:lang w:val="en-US"/>
              </w:rPr>
              <w:t>mash&amp;lauter</w:t>
            </w:r>
            <w:proofErr w:type="spellEnd"/>
            <w:r w:rsidR="00C9654F" w:rsidRPr="007A2F2B">
              <w:rPr>
                <w:color w:val="000000"/>
                <w:lang w:val="en-US"/>
              </w:rPr>
              <w:t xml:space="preserve"> </w:t>
            </w:r>
            <w:proofErr w:type="spellStart"/>
            <w:r w:rsidR="00C9654F" w:rsidRPr="007A2F2B">
              <w:rPr>
                <w:color w:val="000000"/>
                <w:lang w:val="en-US"/>
              </w:rPr>
              <w:t>tun</w:t>
            </w:r>
            <w:proofErr w:type="spellEnd"/>
            <w:r w:rsidR="00C9654F" w:rsidRPr="007A2F2B">
              <w:rPr>
                <w:color w:val="000000"/>
                <w:lang w:val="en-US"/>
              </w:rPr>
              <w:t xml:space="preserve"> and </w:t>
            </w:r>
            <w:r w:rsidR="004E1CC9" w:rsidRPr="007A2F2B">
              <w:rPr>
                <w:color w:val="000000"/>
                <w:lang w:val="en-US"/>
              </w:rPr>
              <w:t xml:space="preserve">the </w:t>
            </w:r>
            <w:r w:rsidR="00C9654F" w:rsidRPr="007A2F2B">
              <w:rPr>
                <w:color w:val="000000"/>
                <w:lang w:val="en-US"/>
              </w:rPr>
              <w:t>whirlpool</w:t>
            </w:r>
            <w:r w:rsidR="0040072A" w:rsidRPr="007A2F2B">
              <w:rPr>
                <w:color w:val="000000"/>
                <w:lang w:val="en-US"/>
              </w:rPr>
              <w:t>;</w:t>
            </w:r>
          </w:p>
          <w:p w14:paraId="0E0542D4" w14:textId="1641FA6F" w:rsidR="0040072A" w:rsidRPr="007A2F2B" w:rsidRDefault="00C9654F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Two heating options: </w:t>
            </w:r>
            <w:r w:rsidR="0040072A" w:rsidRPr="007A2F2B">
              <w:rPr>
                <w:color w:val="000000"/>
                <w:lang w:val="en-US"/>
              </w:rPr>
              <w:t xml:space="preserve">internal calorifier (calandria) without forced circulation (without pump) and </w:t>
            </w:r>
            <w:r w:rsidRPr="007A2F2B">
              <w:rPr>
                <w:color w:val="000000"/>
                <w:lang w:val="en-US"/>
              </w:rPr>
              <w:t xml:space="preserve">heating </w:t>
            </w:r>
            <w:r w:rsidR="0040072A" w:rsidRPr="007A2F2B">
              <w:rPr>
                <w:color w:val="000000"/>
                <w:lang w:val="en-US"/>
              </w:rPr>
              <w:t>bottom;</w:t>
            </w:r>
          </w:p>
          <w:p w14:paraId="7AE1757C" w14:textId="6FDE1042" w:rsidR="0040072A" w:rsidRPr="007A2F2B" w:rsidRDefault="004E1CC9" w:rsidP="0040072A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The </w:t>
            </w:r>
            <w:proofErr w:type="spellStart"/>
            <w:r w:rsidR="00C9654F" w:rsidRPr="007A2F2B">
              <w:rPr>
                <w:color w:val="000000"/>
                <w:lang w:val="en-US"/>
              </w:rPr>
              <w:t>mash&amp;lauter</w:t>
            </w:r>
            <w:proofErr w:type="spellEnd"/>
            <w:r w:rsidR="00C9654F" w:rsidRPr="007A2F2B">
              <w:rPr>
                <w:color w:val="000000"/>
                <w:lang w:val="en-US"/>
              </w:rPr>
              <w:t xml:space="preserve"> </w:t>
            </w:r>
            <w:proofErr w:type="spellStart"/>
            <w:r w:rsidR="00C9654F" w:rsidRPr="007A2F2B">
              <w:rPr>
                <w:color w:val="000000"/>
                <w:lang w:val="en-US"/>
              </w:rPr>
              <w:t>tun</w:t>
            </w:r>
            <w:proofErr w:type="spellEnd"/>
            <w:r w:rsidR="00C9654F" w:rsidRPr="007A2F2B">
              <w:rPr>
                <w:color w:val="000000"/>
                <w:lang w:val="en-US"/>
              </w:rPr>
              <w:t xml:space="preserve"> </w:t>
            </w:r>
            <w:r w:rsidR="0040072A" w:rsidRPr="007A2F2B">
              <w:rPr>
                <w:color w:val="000000"/>
                <w:lang w:val="en-US"/>
              </w:rPr>
              <w:t xml:space="preserve">ready </w:t>
            </w:r>
            <w:r w:rsidRPr="007A2F2B">
              <w:rPr>
                <w:color w:val="000000"/>
                <w:lang w:val="en-US"/>
              </w:rPr>
              <w:t xml:space="preserve">for the production of both low-density and high-density wort </w:t>
            </w:r>
            <w:r w:rsidR="0040072A" w:rsidRPr="007A2F2B">
              <w:rPr>
                <w:color w:val="000000"/>
                <w:lang w:val="en-US"/>
              </w:rPr>
              <w:t>(extractive original wort 20%);</w:t>
            </w:r>
          </w:p>
          <w:p w14:paraId="3F5C255D" w14:textId="77777777" w:rsidR="004E1CC9" w:rsidRPr="007A2F2B" w:rsidRDefault="004E1CC9" w:rsidP="004E1CC9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pellet ripper, wide manhole for pellet throw-out;</w:t>
            </w:r>
          </w:p>
          <w:p w14:paraId="5F610394" w14:textId="6C81EC51" w:rsidR="0040072A" w:rsidRPr="007A2F2B" w:rsidRDefault="004E1CC9" w:rsidP="004E1CC9">
            <w:pPr>
              <w:pStyle w:val="1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separate pump for swapping the mash and separate pump for wort lautering</w:t>
            </w:r>
            <w:r w:rsidR="0040072A" w:rsidRPr="007A2F2B">
              <w:rPr>
                <w:color w:val="000000"/>
                <w:lang w:val="en-US"/>
              </w:rPr>
              <w:t>.</w:t>
            </w:r>
          </w:p>
          <w:p w14:paraId="27D32FEA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 w:rsidRPr="007A2F2B">
              <w:rPr>
                <w:color w:val="000000"/>
                <w:lang w:val="en-US"/>
              </w:rPr>
              <w:t>Automatisation</w:t>
            </w:r>
            <w:proofErr w:type="spellEnd"/>
            <w:r w:rsidRPr="007A2F2B">
              <w:rPr>
                <w:color w:val="000000"/>
              </w:rPr>
              <w:t>:</w:t>
            </w:r>
          </w:p>
          <w:p w14:paraId="6BE1F41B" w14:textId="77777777" w:rsidR="0040072A" w:rsidRPr="007A2F2B" w:rsidRDefault="0040072A" w:rsidP="0040072A">
            <w:pPr>
              <w:pStyle w:val="1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A2F2B">
              <w:rPr>
                <w:color w:val="000000"/>
                <w:lang w:val="en-US"/>
              </w:rPr>
              <w:t>automated</w:t>
            </w:r>
            <w:r w:rsidRPr="007A2F2B">
              <w:rPr>
                <w:color w:val="000000"/>
              </w:rPr>
              <w:t xml:space="preserve"> </w:t>
            </w:r>
            <w:r w:rsidRPr="007A2F2B">
              <w:rPr>
                <w:color w:val="000000"/>
                <w:lang w:val="en-US"/>
              </w:rPr>
              <w:t>mashing</w:t>
            </w:r>
            <w:r w:rsidRPr="007A2F2B">
              <w:rPr>
                <w:color w:val="000000"/>
              </w:rPr>
              <w:t xml:space="preserve"> </w:t>
            </w:r>
            <w:r w:rsidRPr="007A2F2B">
              <w:rPr>
                <w:color w:val="000000"/>
                <w:lang w:val="en-US"/>
              </w:rPr>
              <w:t>and</w:t>
            </w:r>
            <w:r w:rsidRPr="007A2F2B">
              <w:rPr>
                <w:color w:val="000000"/>
              </w:rPr>
              <w:t xml:space="preserve"> </w:t>
            </w:r>
            <w:r w:rsidRPr="007A2F2B">
              <w:rPr>
                <w:color w:val="000000"/>
                <w:lang w:val="en-US"/>
              </w:rPr>
              <w:t>boiling</w:t>
            </w:r>
          </w:p>
          <w:p w14:paraId="565E9051" w14:textId="22BEFB93" w:rsidR="0040072A" w:rsidRPr="007A2F2B" w:rsidRDefault="0040072A" w:rsidP="0040072A">
            <w:pPr>
              <w:pStyle w:val="1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all valves are pneumatic driving by the control panel on the brewing pot (buttons or sensor screen</w:t>
            </w:r>
            <w:r w:rsidR="00271F5B" w:rsidRPr="007A2F2B">
              <w:rPr>
                <w:color w:val="000000"/>
                <w:lang w:val="en-US"/>
              </w:rPr>
              <w:t>)</w:t>
            </w:r>
            <w:r w:rsidRPr="007A2F2B">
              <w:rPr>
                <w:color w:val="000000"/>
                <w:lang w:val="en-US"/>
              </w:rPr>
              <w:t>.</w:t>
            </w:r>
          </w:p>
          <w:p w14:paraId="04D34B78" w14:textId="13C606CE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Wort heat exchanger for wort cooling down during 30-40 minutes.</w:t>
            </w:r>
          </w:p>
          <w:p w14:paraId="3902FE7B" w14:textId="2EFFBC7E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Wort cooling down by help of glycol and water (two stage heat exchanger).</w:t>
            </w:r>
          </w:p>
          <w:p w14:paraId="42E97DE4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A2F2B">
              <w:rPr>
                <w:color w:val="000000"/>
                <w:lang w:val="en-US"/>
              </w:rPr>
              <w:t>Aeration of wort</w:t>
            </w:r>
            <w:r w:rsidRPr="007A2F2B">
              <w:rPr>
                <w:color w:val="000000"/>
              </w:rPr>
              <w:t>.</w:t>
            </w:r>
          </w:p>
          <w:p w14:paraId="128F5911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7A2F2B">
              <w:rPr>
                <w:color w:val="000000"/>
                <w:lang w:val="en-US"/>
              </w:rPr>
              <w:t>Vessel equipment</w:t>
            </w:r>
            <w:r w:rsidRPr="007A2F2B">
              <w:rPr>
                <w:color w:val="000000"/>
              </w:rPr>
              <w:t>:</w:t>
            </w:r>
          </w:p>
          <w:p w14:paraId="20588E5C" w14:textId="1B4D67E5" w:rsidR="0040072A" w:rsidRPr="007A2F2B" w:rsidRDefault="0040072A" w:rsidP="0040072A">
            <w:pPr>
              <w:pStyle w:val="1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cylindroconical vessels (20-60 </w:t>
            </w:r>
            <w:r w:rsidR="00271F5B" w:rsidRPr="007A2F2B">
              <w:rPr>
                <w:color w:val="000000"/>
                <w:lang w:val="en-US"/>
              </w:rPr>
              <w:t>HL</w:t>
            </w:r>
            <w:r w:rsidRPr="007A2F2B">
              <w:rPr>
                <w:color w:val="000000"/>
                <w:lang w:val="en-US"/>
              </w:rPr>
              <w:t>): two cooling sections, insulation by PU foam of the cone, cylinder and crown, temperature control, working pressure 2,5 bar; test pressure 4 bar.</w:t>
            </w:r>
          </w:p>
          <w:p w14:paraId="005A2735" w14:textId="6D475C58" w:rsidR="0040072A" w:rsidRPr="007A2F2B" w:rsidRDefault="00271F5B" w:rsidP="0040072A">
            <w:pPr>
              <w:pStyle w:val="1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lang w:val="en-US"/>
              </w:rPr>
              <w:t>d</w:t>
            </w:r>
            <w:proofErr w:type="spellStart"/>
            <w:r w:rsidRPr="007A2F2B">
              <w:rPr>
                <w:lang w:val="de-DE"/>
              </w:rPr>
              <w:t>ispensing</w:t>
            </w:r>
            <w:proofErr w:type="spellEnd"/>
            <w:r w:rsidRPr="007A2F2B">
              <w:rPr>
                <w:lang w:val="de-DE"/>
              </w:rPr>
              <w:t xml:space="preserve"> </w:t>
            </w:r>
            <w:proofErr w:type="spellStart"/>
            <w:r w:rsidRPr="007A2F2B">
              <w:rPr>
                <w:lang w:val="de-DE"/>
              </w:rPr>
              <w:t>tanks</w:t>
            </w:r>
            <w:proofErr w:type="spellEnd"/>
            <w:r w:rsidRPr="007A2F2B">
              <w:rPr>
                <w:lang w:val="de-DE"/>
              </w:rPr>
              <w:t xml:space="preserve"> </w:t>
            </w:r>
            <w:r w:rsidR="0040072A" w:rsidRPr="007A2F2B">
              <w:rPr>
                <w:color w:val="000000"/>
                <w:lang w:val="en-US"/>
              </w:rPr>
              <w:t xml:space="preserve">10 </w:t>
            </w:r>
            <w:r w:rsidRPr="007A2F2B">
              <w:rPr>
                <w:color w:val="000000"/>
                <w:lang w:val="en-US"/>
              </w:rPr>
              <w:t>HL</w:t>
            </w:r>
            <w:r w:rsidR="0040072A" w:rsidRPr="007A2F2B">
              <w:rPr>
                <w:color w:val="000000"/>
                <w:lang w:val="en-US"/>
              </w:rPr>
              <w:t xml:space="preserve"> for finished beer dispensing in the bar, cooling down by glycol.</w:t>
            </w:r>
          </w:p>
          <w:p w14:paraId="1D9ED02F" w14:textId="2F799F10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The equipment of the washing and internal steaming of the beer kegs and beer dispensing into the kegs</w:t>
            </w:r>
          </w:p>
          <w:p w14:paraId="70A549D4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Equipment for beer dispensing into the bottles (capacity – 150-200 bottles per hour).</w:t>
            </w:r>
          </w:p>
          <w:p w14:paraId="100E3F6E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>Refrigerating glycol unit with the ice and glycol tank for wort and beer.</w:t>
            </w:r>
          </w:p>
          <w:p w14:paraId="0DA42AB8" w14:textId="74850E5B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Compressor and sterilized filters for wort aeration and the work of the pneumatic valves of the brewing unit with the forced air tank 500 </w:t>
            </w:r>
            <w:r w:rsidR="00271F5B" w:rsidRPr="007A2F2B">
              <w:rPr>
                <w:color w:val="000000"/>
                <w:lang w:val="en-US"/>
              </w:rPr>
              <w:t>L</w:t>
            </w:r>
            <w:r w:rsidRPr="007A2F2B">
              <w:rPr>
                <w:color w:val="000000"/>
                <w:lang w:val="en-US"/>
              </w:rPr>
              <w:t>.</w:t>
            </w:r>
          </w:p>
          <w:p w14:paraId="6E077A75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lastRenderedPageBreak/>
              <w:t>Hose-pipes and full assembly of the auxiliary equipment for the work of the brew-house.</w:t>
            </w:r>
          </w:p>
          <w:p w14:paraId="2FF1BB63" w14:textId="77777777" w:rsidR="0040072A" w:rsidRPr="007A2F2B" w:rsidRDefault="0040072A" w:rsidP="0040072A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en-US"/>
              </w:rPr>
            </w:pPr>
            <w:r w:rsidRPr="007A2F2B">
              <w:rPr>
                <w:color w:val="000000"/>
                <w:lang w:val="en-US"/>
              </w:rPr>
              <w:t xml:space="preserve">Full assembly of the equipment for installation of the brew-house (pipes for water, steam, product, glycol, forced air, </w:t>
            </w:r>
            <w:r w:rsidRPr="007A2F2B">
              <w:rPr>
                <w:color w:val="000000"/>
              </w:rPr>
              <w:t>СО</w:t>
            </w:r>
            <w:r w:rsidRPr="007A2F2B">
              <w:rPr>
                <w:color w:val="000000"/>
                <w:vertAlign w:val="subscript"/>
                <w:lang w:val="en-US"/>
              </w:rPr>
              <w:t>2</w:t>
            </w:r>
            <w:r w:rsidRPr="007A2F2B">
              <w:rPr>
                <w:color w:val="000000"/>
                <w:lang w:val="en-US"/>
              </w:rPr>
              <w:t>) made from stainless steel.</w:t>
            </w:r>
          </w:p>
          <w:p w14:paraId="67AE998F" w14:textId="77777777" w:rsidR="0040072A" w:rsidRPr="007A2F2B" w:rsidRDefault="0040072A" w:rsidP="0040072A">
            <w:pPr>
              <w:pStyle w:val="10"/>
              <w:ind w:left="34"/>
              <w:rPr>
                <w:lang w:val="en-US"/>
              </w:rPr>
            </w:pPr>
            <w:r w:rsidRPr="007A2F2B">
              <w:rPr>
                <w:lang w:val="en-US"/>
              </w:rPr>
              <w:t>4. Brewing equipment is available to be placed in the restaurant in open construction so due to this there are higher requirements according to visual esthetical performance.</w:t>
            </w:r>
          </w:p>
        </w:tc>
      </w:tr>
      <w:tr w:rsidR="0040072A" w:rsidRPr="007A2F2B" w14:paraId="2E443F6C" w14:textId="77777777">
        <w:tc>
          <w:tcPr>
            <w:tcW w:w="3085" w:type="dxa"/>
          </w:tcPr>
          <w:p w14:paraId="039E5E46" w14:textId="77777777" w:rsidR="0040072A" w:rsidRPr="007A2F2B" w:rsidRDefault="0040072A" w:rsidP="0040072A">
            <w:pPr>
              <w:pStyle w:val="10"/>
            </w:pPr>
            <w:r w:rsidRPr="007A2F2B">
              <w:rPr>
                <w:lang w:val="en-US"/>
              </w:rPr>
              <w:lastRenderedPageBreak/>
              <w:t>P</w:t>
            </w:r>
            <w:proofErr w:type="spellStart"/>
            <w:r w:rsidRPr="007A2F2B">
              <w:t>erformance</w:t>
            </w:r>
            <w:proofErr w:type="spellEnd"/>
            <w:r w:rsidRPr="007A2F2B">
              <w:t xml:space="preserve"> </w:t>
            </w:r>
            <w:proofErr w:type="spellStart"/>
            <w:r w:rsidRPr="007A2F2B">
              <w:t>requirements</w:t>
            </w:r>
            <w:proofErr w:type="spellEnd"/>
          </w:p>
        </w:tc>
        <w:tc>
          <w:tcPr>
            <w:tcW w:w="6486" w:type="dxa"/>
          </w:tcPr>
          <w:p w14:paraId="6D93576D" w14:textId="77777777" w:rsidR="0040072A" w:rsidRPr="007A2F2B" w:rsidRDefault="0040072A" w:rsidP="0040072A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>1. The Executor provides the tools required, special machines and equipment to perform the works by himself.</w:t>
            </w:r>
          </w:p>
          <w:p w14:paraId="488DF30C" w14:textId="77777777" w:rsidR="0040072A" w:rsidRPr="007A2F2B" w:rsidRDefault="0040072A" w:rsidP="0040072A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 xml:space="preserve">2. The Executor provides the transportation of the resources required by himself. </w:t>
            </w:r>
          </w:p>
          <w:p w14:paraId="08B1F658" w14:textId="75D977C6" w:rsidR="0040072A" w:rsidRPr="007A2F2B" w:rsidRDefault="0040072A" w:rsidP="0040072A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>3. The Executor hands over to the Customer 3 (three) samples of the as-built documentation and one DWG/DOC hardcopy sample available to edit before signing Act of Acceptance CC-2.</w:t>
            </w:r>
          </w:p>
        </w:tc>
      </w:tr>
      <w:tr w:rsidR="0040072A" w:rsidRPr="007A2F2B" w14:paraId="40ABE3E1" w14:textId="77777777">
        <w:tc>
          <w:tcPr>
            <w:tcW w:w="3085" w:type="dxa"/>
          </w:tcPr>
          <w:p w14:paraId="0B41E795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 xml:space="preserve">Safety regulations for execution of construction and installation work </w:t>
            </w:r>
          </w:p>
        </w:tc>
        <w:tc>
          <w:tcPr>
            <w:tcW w:w="6486" w:type="dxa"/>
          </w:tcPr>
          <w:p w14:paraId="7A5DEE55" w14:textId="77777777" w:rsidR="0040072A" w:rsidRPr="007A2F2B" w:rsidRDefault="0040072A" w:rsidP="0040072A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>1. While performing the works it is required to follow all necessary measures of fire-protection and radiation safety, work safety and sanitary, natural environment protection and traffic safety according to the existing regulations in Russian Federation during all Currency of Contract.</w:t>
            </w:r>
          </w:p>
          <w:p w14:paraId="008D1D5B" w14:textId="77777777" w:rsidR="0040072A" w:rsidRPr="007A2F2B" w:rsidRDefault="0040072A" w:rsidP="0040072A">
            <w:pPr>
              <w:pStyle w:val="10"/>
              <w:jc w:val="both"/>
              <w:rPr>
                <w:lang w:val="en-US"/>
              </w:rPr>
            </w:pPr>
            <w:r w:rsidRPr="007A2F2B">
              <w:rPr>
                <w:lang w:val="en-US"/>
              </w:rPr>
              <w:t>2. While performing the works the Executor responds to make safe working conditions, safety of the employees; to involve the qualified and experienced employees who has been trained in the fooled of work safety; to use in good repair mechanical device.</w:t>
            </w:r>
          </w:p>
        </w:tc>
      </w:tr>
      <w:tr w:rsidR="0040072A" w:rsidRPr="007A2F2B" w14:paraId="4B189940" w14:textId="77777777">
        <w:tc>
          <w:tcPr>
            <w:tcW w:w="3085" w:type="dxa"/>
          </w:tcPr>
          <w:p w14:paraId="1D5214F2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Special conditions of construction</w:t>
            </w:r>
          </w:p>
        </w:tc>
        <w:tc>
          <w:tcPr>
            <w:tcW w:w="6486" w:type="dxa"/>
          </w:tcPr>
          <w:p w14:paraId="70FA3D8F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Seismicity should be assumed as specified by requirements of Handbook of Instructions 14.13330, with the map General Seismic Zoning -2015-</w:t>
            </w:r>
            <w:r w:rsidRPr="007A2F2B">
              <w:t>А</w:t>
            </w:r>
            <w:r w:rsidRPr="007A2F2B">
              <w:rPr>
                <w:lang w:val="en-US"/>
              </w:rPr>
              <w:t xml:space="preserve"> and </w:t>
            </w:r>
            <w:proofErr w:type="gramStart"/>
            <w:r w:rsidRPr="007A2F2B">
              <w:rPr>
                <w:lang w:val="en-US"/>
              </w:rPr>
              <w:t>construction  norms</w:t>
            </w:r>
            <w:proofErr w:type="gramEnd"/>
            <w:r w:rsidRPr="007A2F2B">
              <w:rPr>
                <w:lang w:val="en-US"/>
              </w:rPr>
              <w:t xml:space="preserve"> of Krasnodar Krai  22-301-2008.</w:t>
            </w:r>
          </w:p>
        </w:tc>
      </w:tr>
      <w:tr w:rsidR="0040072A" w:rsidRPr="007A2F2B" w14:paraId="3782D6EE" w14:textId="77777777">
        <w:tc>
          <w:tcPr>
            <w:tcW w:w="3085" w:type="dxa"/>
          </w:tcPr>
          <w:p w14:paraId="09BC014C" w14:textId="77777777" w:rsidR="0040072A" w:rsidRPr="007A2F2B" w:rsidRDefault="0040072A" w:rsidP="0040072A">
            <w:pPr>
              <w:pStyle w:val="10"/>
            </w:pPr>
            <w:r w:rsidRPr="007A2F2B">
              <w:rPr>
                <w:lang w:val="en-US"/>
              </w:rPr>
              <w:t>Q</w:t>
            </w:r>
            <w:proofErr w:type="spellStart"/>
            <w:r w:rsidRPr="007A2F2B">
              <w:t>uality</w:t>
            </w:r>
            <w:proofErr w:type="spellEnd"/>
            <w:r w:rsidRPr="007A2F2B">
              <w:t xml:space="preserve"> </w:t>
            </w:r>
            <w:proofErr w:type="spellStart"/>
            <w:r w:rsidRPr="007A2F2B">
              <w:t>warranty</w:t>
            </w:r>
            <w:proofErr w:type="spellEnd"/>
          </w:p>
        </w:tc>
        <w:tc>
          <w:tcPr>
            <w:tcW w:w="6486" w:type="dxa"/>
          </w:tcPr>
          <w:p w14:paraId="0C8A7A4F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The term of the warranty obligations is at least 12 (twelve) months since the day of the commissioning of the equipment.</w:t>
            </w:r>
          </w:p>
        </w:tc>
      </w:tr>
      <w:tr w:rsidR="0040072A" w:rsidRPr="007A2F2B" w14:paraId="55F7C249" w14:textId="77777777">
        <w:tc>
          <w:tcPr>
            <w:tcW w:w="3085" w:type="dxa"/>
          </w:tcPr>
          <w:p w14:paraId="317C4513" w14:textId="77777777" w:rsidR="0040072A" w:rsidRPr="007A2F2B" w:rsidRDefault="0040072A" w:rsidP="0040072A">
            <w:pPr>
              <w:pStyle w:val="10"/>
            </w:pPr>
            <w:proofErr w:type="spellStart"/>
            <w:r w:rsidRPr="007A2F2B">
              <w:t>Performance</w:t>
            </w:r>
            <w:proofErr w:type="spellEnd"/>
            <w:r w:rsidRPr="007A2F2B">
              <w:t xml:space="preserve"> </w:t>
            </w:r>
            <w:proofErr w:type="spellStart"/>
            <w:r w:rsidRPr="007A2F2B">
              <w:t>Expectations</w:t>
            </w:r>
            <w:proofErr w:type="spellEnd"/>
          </w:p>
        </w:tc>
        <w:tc>
          <w:tcPr>
            <w:tcW w:w="6486" w:type="dxa"/>
          </w:tcPr>
          <w:p w14:paraId="0772B0DD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Existence of the positive experience corresponding to the feature of the terms of reference.</w:t>
            </w:r>
          </w:p>
        </w:tc>
      </w:tr>
      <w:tr w:rsidR="0040072A" w:rsidRPr="007A2F2B" w14:paraId="02338DD5" w14:textId="77777777">
        <w:tc>
          <w:tcPr>
            <w:tcW w:w="3085" w:type="dxa"/>
          </w:tcPr>
          <w:p w14:paraId="1CE5469C" w14:textId="77777777" w:rsidR="0040072A" w:rsidRPr="007A2F2B" w:rsidRDefault="0040072A" w:rsidP="0040072A">
            <w:pPr>
              <w:pStyle w:val="10"/>
              <w:rPr>
                <w:b/>
                <w:lang w:val="en-US"/>
              </w:rPr>
            </w:pPr>
            <w:r w:rsidRPr="007A2F2B">
              <w:rPr>
                <w:lang w:val="en-US"/>
              </w:rPr>
              <w:t>Involvement of Subcontractor (Joint Contractor)</w:t>
            </w:r>
          </w:p>
        </w:tc>
        <w:tc>
          <w:tcPr>
            <w:tcW w:w="6486" w:type="dxa"/>
          </w:tcPr>
          <w:p w14:paraId="22D28B37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>The Executor has the right to perform the work by himself or to involve the Subcontractors for separate types of the works as agreed by the Customer.</w:t>
            </w:r>
          </w:p>
        </w:tc>
      </w:tr>
      <w:tr w:rsidR="0040072A" w:rsidRPr="007A2F2B" w14:paraId="4A53BC5F" w14:textId="77777777">
        <w:tc>
          <w:tcPr>
            <w:tcW w:w="3085" w:type="dxa"/>
          </w:tcPr>
          <w:p w14:paraId="0ED4D77C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r w:rsidRPr="007A2F2B">
              <w:rPr>
                <w:lang w:val="en-US"/>
              </w:rPr>
              <w:t xml:space="preserve">Additional requirements </w:t>
            </w:r>
          </w:p>
        </w:tc>
        <w:tc>
          <w:tcPr>
            <w:tcW w:w="6486" w:type="dxa"/>
          </w:tcPr>
          <w:p w14:paraId="165B5EE2" w14:textId="77777777" w:rsidR="0040072A" w:rsidRPr="007A2F2B" w:rsidRDefault="0040072A" w:rsidP="0040072A">
            <w:pPr>
              <w:pStyle w:val="10"/>
              <w:rPr>
                <w:lang w:val="en-US"/>
              </w:rPr>
            </w:pPr>
            <w:bookmarkStart w:id="0" w:name="_gjdgxs" w:colFirst="0" w:colLast="0"/>
            <w:bookmarkEnd w:id="0"/>
            <w:r w:rsidRPr="007A2F2B">
              <w:rPr>
                <w:lang w:val="en-US"/>
              </w:rPr>
              <w:t>Specification for the supply of equipment – the Tenderer should provide the detailed specification containing the following information: the name of the equipment, quantity, technical specifications, model, capacity, price per unit, total price of the equipment.</w:t>
            </w:r>
          </w:p>
        </w:tc>
      </w:tr>
    </w:tbl>
    <w:p w14:paraId="096E722A" w14:textId="77777777" w:rsidR="008C2EB7" w:rsidRPr="007A2F2B" w:rsidRDefault="008C2EB7">
      <w:pPr>
        <w:pStyle w:val="10"/>
        <w:tabs>
          <w:tab w:val="left" w:pos="6237"/>
        </w:tabs>
        <w:spacing w:line="240" w:lineRule="auto"/>
        <w:jc w:val="both"/>
        <w:rPr>
          <w:b/>
          <w:lang w:val="en-US"/>
        </w:rPr>
      </w:pPr>
    </w:p>
    <w:p w14:paraId="6D1E6D14" w14:textId="77777777" w:rsidR="008C2EB7" w:rsidRPr="007A2F2B" w:rsidRDefault="0084283F">
      <w:pPr>
        <w:pStyle w:val="10"/>
        <w:spacing w:line="240" w:lineRule="auto"/>
        <w:jc w:val="both"/>
        <w:rPr>
          <w:b/>
        </w:rPr>
      </w:pPr>
      <w:r w:rsidRPr="007A2F2B">
        <w:rPr>
          <w:b/>
          <w:lang w:val="en-US"/>
        </w:rPr>
        <w:t>Originator</w:t>
      </w:r>
      <w:r w:rsidR="00221711" w:rsidRPr="007A2F2B">
        <w:rPr>
          <w:b/>
        </w:rPr>
        <w:t>:</w:t>
      </w:r>
    </w:p>
    <w:p w14:paraId="434B7E78" w14:textId="77777777" w:rsidR="008C2EB7" w:rsidRPr="007A2F2B" w:rsidRDefault="008C2EB7">
      <w:pPr>
        <w:pStyle w:val="10"/>
        <w:spacing w:line="240" w:lineRule="auto"/>
        <w:jc w:val="both"/>
        <w:rPr>
          <w:b/>
        </w:rPr>
      </w:pPr>
    </w:p>
    <w:p w14:paraId="423F9224" w14:textId="77777777" w:rsidR="008C2EB7" w:rsidRDefault="0084283F">
      <w:pPr>
        <w:pStyle w:val="10"/>
        <w:spacing w:line="240" w:lineRule="auto"/>
        <w:jc w:val="both"/>
        <w:rPr>
          <w:i/>
          <w:sz w:val="20"/>
          <w:szCs w:val="20"/>
        </w:rPr>
      </w:pPr>
      <w:r w:rsidRPr="007A2F2B">
        <w:rPr>
          <w:b/>
          <w:lang w:val="en-US"/>
        </w:rPr>
        <w:t>Agreed by</w:t>
      </w:r>
      <w:r w:rsidR="00221711" w:rsidRPr="007A2F2B">
        <w:rPr>
          <w:b/>
        </w:rPr>
        <w:t>:</w:t>
      </w:r>
      <w:bookmarkStart w:id="1" w:name="_GoBack"/>
      <w:bookmarkEnd w:id="1"/>
    </w:p>
    <w:sectPr w:rsidR="008C2EB7" w:rsidSect="008C2EB7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0E7"/>
    <w:multiLevelType w:val="multilevel"/>
    <w:tmpl w:val="40C42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0E7BDB"/>
    <w:multiLevelType w:val="multilevel"/>
    <w:tmpl w:val="A2504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131C8"/>
    <w:multiLevelType w:val="hybridMultilevel"/>
    <w:tmpl w:val="7DCC76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409"/>
    <w:multiLevelType w:val="multilevel"/>
    <w:tmpl w:val="04E88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091BBF"/>
    <w:multiLevelType w:val="hybridMultilevel"/>
    <w:tmpl w:val="E94C8AA4"/>
    <w:lvl w:ilvl="0" w:tplc="27EE3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7"/>
    <w:rsid w:val="00040552"/>
    <w:rsid w:val="000A0CEB"/>
    <w:rsid w:val="000B1A81"/>
    <w:rsid w:val="00154D2D"/>
    <w:rsid w:val="001D0E5D"/>
    <w:rsid w:val="001E0EE3"/>
    <w:rsid w:val="00221711"/>
    <w:rsid w:val="00240696"/>
    <w:rsid w:val="00240927"/>
    <w:rsid w:val="00271F5B"/>
    <w:rsid w:val="00275792"/>
    <w:rsid w:val="002869F1"/>
    <w:rsid w:val="002F0424"/>
    <w:rsid w:val="00352943"/>
    <w:rsid w:val="003B3D72"/>
    <w:rsid w:val="0040072A"/>
    <w:rsid w:val="0043272B"/>
    <w:rsid w:val="004C3F8F"/>
    <w:rsid w:val="004E1CC9"/>
    <w:rsid w:val="0053210C"/>
    <w:rsid w:val="005F45BD"/>
    <w:rsid w:val="00685885"/>
    <w:rsid w:val="006F6CD7"/>
    <w:rsid w:val="007A2F2B"/>
    <w:rsid w:val="007D235B"/>
    <w:rsid w:val="007E2B5B"/>
    <w:rsid w:val="007E2EAE"/>
    <w:rsid w:val="00810373"/>
    <w:rsid w:val="0084283F"/>
    <w:rsid w:val="0088054C"/>
    <w:rsid w:val="00894500"/>
    <w:rsid w:val="008C2EB7"/>
    <w:rsid w:val="008D17A0"/>
    <w:rsid w:val="008D44AD"/>
    <w:rsid w:val="009E1FD9"/>
    <w:rsid w:val="00A006C3"/>
    <w:rsid w:val="00A21CC0"/>
    <w:rsid w:val="00A56FB5"/>
    <w:rsid w:val="00A623BA"/>
    <w:rsid w:val="00BA175D"/>
    <w:rsid w:val="00BC4203"/>
    <w:rsid w:val="00C27E12"/>
    <w:rsid w:val="00C9654F"/>
    <w:rsid w:val="00CA75DD"/>
    <w:rsid w:val="00DB3496"/>
    <w:rsid w:val="00DC3D04"/>
    <w:rsid w:val="00E22580"/>
    <w:rsid w:val="00E95417"/>
    <w:rsid w:val="00FB0238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F96"/>
  <w15:docId w15:val="{5B828F5A-EE59-4138-96AC-F984EE9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1"/>
  </w:style>
  <w:style w:type="paragraph" w:styleId="1">
    <w:name w:val="heading 1"/>
    <w:basedOn w:val="10"/>
    <w:next w:val="10"/>
    <w:rsid w:val="008C2EB7"/>
    <w:pPr>
      <w:keepNext/>
      <w:keepLines/>
      <w:spacing w:before="480"/>
      <w:jc w:val="center"/>
      <w:outlineLvl w:val="0"/>
    </w:pPr>
    <w:rPr>
      <w:b/>
      <w:smallCaps/>
      <w:sz w:val="28"/>
      <w:szCs w:val="28"/>
    </w:rPr>
  </w:style>
  <w:style w:type="paragraph" w:styleId="2">
    <w:name w:val="heading 2"/>
    <w:basedOn w:val="10"/>
    <w:next w:val="10"/>
    <w:rsid w:val="008C2E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C2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C2E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8C2E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C2E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C2EB7"/>
  </w:style>
  <w:style w:type="table" w:customStyle="1" w:styleId="TableNormal">
    <w:name w:val="Table Normal"/>
    <w:rsid w:val="008C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C2E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C2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C2EB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40072A"/>
    <w:pPr>
      <w:ind w:left="720"/>
      <w:contextualSpacing/>
    </w:pPr>
    <w:rPr>
      <w:rFonts w:ascii="Calibri" w:eastAsia="Calibri" w:hAnsi="Calibri"/>
      <w:szCs w:val="22"/>
    </w:rPr>
  </w:style>
  <w:style w:type="character" w:customStyle="1" w:styleId="a7">
    <w:name w:val="Абзац списка Знак"/>
    <w:basedOn w:val="a0"/>
    <w:link w:val="a6"/>
    <w:uiPriority w:val="34"/>
    <w:locked/>
    <w:rsid w:val="0040072A"/>
    <w:rPr>
      <w:rFonts w:ascii="Calibri" w:eastAsia="Calibri" w:hAnsi="Calibri"/>
      <w:szCs w:val="22"/>
    </w:rPr>
  </w:style>
  <w:style w:type="paragraph" w:customStyle="1" w:styleId="a8">
    <w:basedOn w:val="a"/>
    <w:next w:val="a3"/>
    <w:link w:val="a9"/>
    <w:qFormat/>
    <w:rsid w:val="0040072A"/>
    <w:pPr>
      <w:widowControl w:val="0"/>
      <w:spacing w:line="240" w:lineRule="auto"/>
      <w:jc w:val="center"/>
    </w:pPr>
    <w:rPr>
      <w:rFonts w:asciiTheme="minorHAnsi" w:eastAsiaTheme="minorHAnsi" w:hAnsiTheme="minorHAnsi" w:cstheme="minorBidi"/>
      <w:b/>
      <w:color w:val="000000"/>
      <w:lang w:eastAsia="en-US"/>
    </w:rPr>
  </w:style>
  <w:style w:type="character" w:customStyle="1" w:styleId="a9">
    <w:name w:val="Название Знак"/>
    <w:link w:val="a8"/>
    <w:rsid w:val="0040072A"/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Ангелатос Виктория Евгеньевна</cp:lastModifiedBy>
  <cp:revision>2</cp:revision>
  <dcterms:created xsi:type="dcterms:W3CDTF">2020-08-14T11:40:00Z</dcterms:created>
  <dcterms:modified xsi:type="dcterms:W3CDTF">2020-08-14T11:40:00Z</dcterms:modified>
</cp:coreProperties>
</file>